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49BC5" w14:textId="41F590EA"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C00E6D" w:rsidRPr="00BB68E1">
        <w:rPr>
          <w:rFonts w:asciiTheme="majorHAnsi" w:hAnsiTheme="majorHAnsi" w:cstheme="majorHAnsi"/>
          <w:b/>
          <w:sz w:val="28"/>
        </w:rPr>
        <w:t>#98</w:t>
      </w:r>
      <w:r w:rsidR="00BB68E1" w:rsidRPr="00BB68E1">
        <w:rPr>
          <w:rFonts w:asciiTheme="majorHAnsi" w:hAnsiTheme="majorHAnsi" w:cstheme="majorHAnsi"/>
          <w:b/>
          <w:sz w:val="28"/>
        </w:rPr>
        <w:t>b</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Pr>
          <w:rFonts w:asciiTheme="majorHAnsi" w:hAnsiTheme="majorHAnsi" w:cstheme="majorHAnsi"/>
          <w:b/>
        </w:rPr>
        <w:tab/>
        <w:t xml:space="preserve">        </w:t>
      </w:r>
      <w:r w:rsidR="003C78AA" w:rsidRPr="00BB5B1C">
        <w:rPr>
          <w:rFonts w:asciiTheme="majorHAnsi" w:hAnsiTheme="majorHAnsi" w:cstheme="majorHAnsi"/>
          <w:b/>
        </w:rPr>
        <w:t>R1-1910429</w:t>
      </w:r>
    </w:p>
    <w:p w14:paraId="19E88E6A" w14:textId="2A9A5A6C" w:rsidR="00450F9F" w:rsidRPr="00A81622" w:rsidRDefault="005809A6" w:rsidP="00450F9F">
      <w:pPr>
        <w:rPr>
          <w:rFonts w:asciiTheme="majorHAnsi" w:eastAsia="MS Mincho" w:hAnsiTheme="majorHAnsi" w:cstheme="majorHAnsi"/>
          <w:b/>
          <w:bCs/>
          <w:sz w:val="28"/>
        </w:rPr>
      </w:pPr>
      <w:r>
        <w:rPr>
          <w:rFonts w:ascii="Arial" w:eastAsia="MS Mincho" w:hAnsi="Arial" w:cs="Arial"/>
          <w:b/>
          <w:bCs/>
          <w:sz w:val="28"/>
        </w:rPr>
        <w:t>Chongqin</w:t>
      </w:r>
      <w:r w:rsidR="00C20E2F">
        <w:rPr>
          <w:rFonts w:ascii="Arial" w:eastAsia="MS Mincho" w:hAnsi="Arial" w:cs="Arial"/>
          <w:b/>
          <w:bCs/>
          <w:sz w:val="28"/>
        </w:rPr>
        <w:t xml:space="preserve">, </w:t>
      </w:r>
      <w:r>
        <w:rPr>
          <w:rFonts w:ascii="Arial" w:eastAsia="MS Mincho" w:hAnsi="Arial" w:cs="Arial"/>
          <w:b/>
          <w:bCs/>
          <w:sz w:val="28"/>
        </w:rPr>
        <w:t>14</w:t>
      </w:r>
      <w:r w:rsidR="00735A22" w:rsidRPr="008F5A33">
        <w:rPr>
          <w:rFonts w:ascii="Arial" w:eastAsia="MS Mincho" w:hAnsi="Arial" w:cs="Arial"/>
          <w:b/>
          <w:bCs/>
          <w:sz w:val="28"/>
          <w:vertAlign w:val="superscript"/>
        </w:rPr>
        <w:t>th</w:t>
      </w:r>
      <w:r w:rsidR="00735A22">
        <w:rPr>
          <w:rFonts w:ascii="Arial" w:eastAsia="MS Mincho" w:hAnsi="Arial" w:cs="Arial"/>
          <w:b/>
          <w:bCs/>
          <w:sz w:val="28"/>
        </w:rPr>
        <w:t xml:space="preserve"> </w:t>
      </w:r>
      <w:r>
        <w:rPr>
          <w:rFonts w:ascii="Arial" w:eastAsia="MS Mincho" w:hAnsi="Arial" w:cs="Arial"/>
          <w:b/>
          <w:bCs/>
          <w:sz w:val="28"/>
        </w:rPr>
        <w:t>October</w:t>
      </w:r>
      <w:r w:rsidR="00735A22">
        <w:rPr>
          <w:rFonts w:ascii="Arial" w:eastAsia="MS Mincho" w:hAnsi="Arial" w:cs="Arial"/>
          <w:b/>
          <w:bCs/>
          <w:sz w:val="28"/>
        </w:rPr>
        <w:t xml:space="preserve"> – </w:t>
      </w:r>
      <w:r>
        <w:rPr>
          <w:rFonts w:ascii="Arial" w:eastAsia="MS Mincho" w:hAnsi="Arial" w:cs="Arial"/>
          <w:b/>
          <w:bCs/>
          <w:sz w:val="28"/>
        </w:rPr>
        <w:t>18</w:t>
      </w:r>
      <w:r w:rsidR="009F272E" w:rsidRPr="009F272E">
        <w:rPr>
          <w:rFonts w:ascii="Arial" w:eastAsia="MS Mincho" w:hAnsi="Arial" w:cs="Arial"/>
          <w:b/>
          <w:bCs/>
          <w:sz w:val="28"/>
          <w:vertAlign w:val="superscript"/>
        </w:rPr>
        <w:t>th</w:t>
      </w:r>
      <w:r w:rsidR="00735A22">
        <w:rPr>
          <w:rFonts w:ascii="Arial" w:eastAsia="MS Mincho" w:hAnsi="Arial" w:cs="Arial"/>
          <w:b/>
          <w:bCs/>
          <w:sz w:val="28"/>
        </w:rPr>
        <w:t xml:space="preserve"> </w:t>
      </w:r>
      <w:r>
        <w:rPr>
          <w:rFonts w:ascii="Arial" w:eastAsia="MS Mincho" w:hAnsi="Arial" w:cs="Arial"/>
          <w:b/>
          <w:bCs/>
          <w:sz w:val="28"/>
        </w:rPr>
        <w:t>October</w:t>
      </w:r>
      <w:r w:rsidR="00735A22">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0F5DC4"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8D102F">
        <w:rPr>
          <w:rFonts w:asciiTheme="majorHAnsi" w:eastAsia="MS Gothic" w:hAnsiTheme="majorHAnsi" w:cstheme="majorHAnsi"/>
          <w:noProof w:val="0"/>
          <w:sz w:val="24"/>
        </w:rPr>
        <w:t>Discussion on UL Timing Advance and RACH</w:t>
      </w:r>
    </w:p>
    <w:p w14:paraId="4D9892B1" w14:textId="48137FD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7.2.5.3</w:t>
      </w:r>
      <w:r w:rsidR="00CD77EF" w:rsidRPr="00CD77EF">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Uplink timing advance/RACH procedure</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7A35BCAB" w14:textId="18418E1C" w:rsidR="00450F9F" w:rsidRDefault="00BB708E" w:rsidP="00BB708E">
      <w:r w:rsidRPr="004A4999">
        <w:t>RAN#80 approved a new SI on solutions evaluation for NR to support Non-Terrestrial Network</w:t>
      </w:r>
      <w:r>
        <w:t xml:space="preserve"> [1]</w:t>
      </w:r>
      <w:r w:rsidRPr="004A4999">
        <w:t>.</w:t>
      </w:r>
      <w:r w:rsidR="00524924">
        <w:t xml:space="preserve"> This SI description was slightly revised in RAN#83 [2]. </w:t>
      </w:r>
    </w:p>
    <w:p w14:paraId="591078E2" w14:textId="65A1AB56" w:rsidR="00647B18" w:rsidRPr="00C6181E" w:rsidRDefault="00647B18" w:rsidP="00647B18">
      <w:r w:rsidRPr="00C6181E">
        <w:rPr>
          <w:bCs/>
          <w:lang w:eastAsia="zh-CN"/>
        </w:rPr>
        <w:t xml:space="preserve">The objectives of the SI </w:t>
      </w:r>
      <w:r w:rsidRPr="00C6181E">
        <w:t>for physical-layer are reported as follows:</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Making retransmission mechanisms at the physical layer more delay-tolerant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D2DCC45"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072B3033" w14:textId="40A32362" w:rsidR="00F45794" w:rsidRDefault="00DA56EC" w:rsidP="0009753D">
      <w:r>
        <w:t>All necessary timing advance procedures rely on an accurate estimation of the delay, in particular during the initial access, despite the large Doppler shift. A joint time and frequency synchronization is needed, that will rely on both the cyclic prefix (CP)</w:t>
      </w:r>
      <w:r w:rsidR="00546EEC">
        <w:t xml:space="preserve"> and the reference signals </w:t>
      </w:r>
      <w:r w:rsidR="00CC2465">
        <w:t>[3</w:t>
      </w:r>
      <w:r w:rsidR="00546EEC">
        <w:t>]</w:t>
      </w:r>
      <w:r>
        <w:t xml:space="preserve">. </w:t>
      </w:r>
    </w:p>
    <w:p w14:paraId="1C692D7B" w14:textId="5032A261" w:rsidR="00BA4269" w:rsidRPr="0009753D" w:rsidRDefault="00BA4269" w:rsidP="0009753D">
      <w:r>
        <w:t>In this contribution, several issues related to DL/UL synchronization, UL Timing Advance (TA) and RACH are discussed.</w:t>
      </w:r>
    </w:p>
    <w:p w14:paraId="5315AB89" w14:textId="062521C6" w:rsidR="00450F9F" w:rsidRDefault="00450F9F" w:rsidP="00A81622">
      <w:pPr>
        <w:pBdr>
          <w:bottom w:val="single" w:sz="12" w:space="1" w:color="auto"/>
        </w:pBdr>
      </w:pPr>
    </w:p>
    <w:p w14:paraId="35F1AEA2" w14:textId="764BEF71" w:rsidR="00807FC1" w:rsidRPr="00807FC1" w:rsidRDefault="00BA4269" w:rsidP="00807FC1">
      <w:pPr>
        <w:pStyle w:val="Titre1"/>
      </w:pPr>
      <w:r>
        <w:t>DL/UL synchronization</w:t>
      </w:r>
    </w:p>
    <w:p w14:paraId="5BB91A39" w14:textId="3C6E24D6" w:rsidR="00F21F55" w:rsidRDefault="00546EEC" w:rsidP="00BF2EB4">
      <w:r>
        <w:t>The NTN scenario is characterized</w:t>
      </w:r>
      <w:r w:rsidR="007D6D1B">
        <w:t xml:space="preserve"> with very large time delays combined with large Doppler shifts due to the LEO satellite velocity.</w:t>
      </w:r>
      <w:r>
        <w:t xml:space="preserve"> </w:t>
      </w:r>
    </w:p>
    <w:p w14:paraId="2A47B7E7" w14:textId="41591A9B" w:rsidR="007D6D1B" w:rsidRDefault="00546EEC" w:rsidP="00BF2EB4">
      <w:r>
        <w:t>In practice, with a LEO satellite configuration at 600 km, a speed of 7,6 km/s and a carrier frequency of 2.6 GHz, a Doppler shift of 65.9 KHz is obtained, corresponding for e</w:t>
      </w:r>
      <w:r w:rsidR="008E7ABD">
        <w:t xml:space="preserve">xample to 4.4 </w:t>
      </w:r>
      <w:r w:rsidR="00CC2465">
        <w:t>SCS of 15 KHz [3</w:t>
      </w:r>
      <w:r>
        <w:t>].</w:t>
      </w:r>
    </w:p>
    <w:p w14:paraId="12464C46" w14:textId="2F3ED4DF" w:rsidR="00F54C8D" w:rsidRDefault="00F54C8D" w:rsidP="00F54C8D">
      <w:r>
        <w:t>However, this value can be reduced thanks to Doppler pre-compensation in LEO/MEO</w:t>
      </w:r>
      <w:r w:rsidR="00CC2465">
        <w:t xml:space="preserve"> constellations. For example, [4</w:t>
      </w:r>
      <w:r>
        <w:t xml:space="preserve">] proposed to </w:t>
      </w:r>
      <w:r w:rsidRPr="00F422EA">
        <w:t xml:space="preserve">operate a “blind” </w:t>
      </w:r>
      <w:r>
        <w:t xml:space="preserve">frequency shift </w:t>
      </w:r>
      <w:r w:rsidRPr="00F422EA">
        <w:t>compensation on the satellite side</w:t>
      </w:r>
      <w:r w:rsidR="00AF2385">
        <w:t>:</w:t>
      </w:r>
      <w:r>
        <w:t xml:space="preserve"> </w:t>
      </w:r>
      <w:r w:rsidR="00AF2385">
        <w:t>“</w:t>
      </w:r>
      <w:r>
        <w:t xml:space="preserve">Based on the satellite ephemeris and the beam layout </w:t>
      </w:r>
      <w:r w:rsidRPr="00F422EA">
        <w:t xml:space="preserve">it is possible to </w:t>
      </w:r>
      <w:r>
        <w:t>predict</w:t>
      </w:r>
      <w:r w:rsidRPr="00F422EA">
        <w:t xml:space="preserve"> precise</w:t>
      </w:r>
      <w:r>
        <w:t xml:space="preserve">ly the relative radial velocity </w:t>
      </w:r>
      <w:r w:rsidRPr="00F422EA">
        <w:t xml:space="preserve">between the satellite and the </w:t>
      </w:r>
      <w:r>
        <w:t>center of each beam. Then, the D</w:t>
      </w:r>
      <w:r w:rsidRPr="00F422EA">
        <w:t xml:space="preserve">oppler </w:t>
      </w:r>
      <w:r>
        <w:t xml:space="preserve">frequency </w:t>
      </w:r>
      <w:r w:rsidRPr="00F422EA">
        <w:t>shift</w:t>
      </w:r>
      <w:r>
        <w:t xml:space="preserve"> due to satellite mobility </w:t>
      </w:r>
      <w:r w:rsidRPr="00F422EA">
        <w:t>is compensated on board as if all the served UEs were at the beam center.</w:t>
      </w:r>
      <w:r w:rsidR="00AF2385">
        <w:t>”</w:t>
      </w:r>
    </w:p>
    <w:p w14:paraId="07F92F93" w14:textId="431A31F9" w:rsidR="00F54C8D" w:rsidRDefault="00F54C8D" w:rsidP="00F54C8D">
      <w:r>
        <w:t>The resulting m</w:t>
      </w:r>
      <w:r w:rsidRPr="00F54C8D">
        <w:t>aximal residual frequency error values due to both satellite and UE mobility</w:t>
      </w:r>
      <w:r>
        <w:t xml:space="preserve"> is </w:t>
      </w:r>
      <w:r w:rsidR="008D1C0D">
        <w:t>represented</w:t>
      </w:r>
      <w:r>
        <w:t xml:space="preserve"> in </w:t>
      </w:r>
      <w:r w:rsidR="000F2F37">
        <w:fldChar w:fldCharType="begin"/>
      </w:r>
      <w:r w:rsidR="000F2F37">
        <w:instrText xml:space="preserve"> REF _Ref7718321 \h </w:instrText>
      </w:r>
      <w:r w:rsidR="000F2F37">
        <w:fldChar w:fldCharType="separate"/>
      </w:r>
      <w:r w:rsidR="00DB78C7">
        <w:t xml:space="preserve">Table </w:t>
      </w:r>
      <w:r w:rsidR="00DB78C7">
        <w:rPr>
          <w:noProof/>
        </w:rPr>
        <w:t>1</w:t>
      </w:r>
      <w:r w:rsidR="000F2F37">
        <w:fldChar w:fldCharType="end"/>
      </w:r>
      <w:r w:rsidR="00CC2465">
        <w:t>, extracted from [4</w:t>
      </w:r>
      <w:r>
        <w:t>].</w:t>
      </w:r>
    </w:p>
    <w:p w14:paraId="54C23D85" w14:textId="42875189" w:rsidR="00F54C8D" w:rsidRDefault="000F2F37" w:rsidP="000F2F37">
      <w:pPr>
        <w:pStyle w:val="Lgende"/>
        <w:jc w:val="center"/>
      </w:pPr>
      <w:bookmarkStart w:id="0" w:name="_Ref7718321"/>
      <w:r>
        <w:lastRenderedPageBreak/>
        <w:t xml:space="preserve">Table </w:t>
      </w:r>
      <w:r w:rsidR="00035C12">
        <w:rPr>
          <w:noProof/>
        </w:rPr>
        <w:fldChar w:fldCharType="begin"/>
      </w:r>
      <w:r w:rsidR="00035C12">
        <w:rPr>
          <w:noProof/>
        </w:rPr>
        <w:instrText xml:space="preserve"> SEQ Table \* ARABIC </w:instrText>
      </w:r>
      <w:r w:rsidR="00035C12">
        <w:rPr>
          <w:noProof/>
        </w:rPr>
        <w:fldChar w:fldCharType="separate"/>
      </w:r>
      <w:r w:rsidR="00DB78C7">
        <w:rPr>
          <w:noProof/>
        </w:rPr>
        <w:t>1</w:t>
      </w:r>
      <w:r w:rsidR="00035C12">
        <w:rPr>
          <w:noProof/>
        </w:rPr>
        <w:fldChar w:fldCharType="end"/>
      </w:r>
      <w:bookmarkEnd w:id="0"/>
      <w:r>
        <w:t xml:space="preserve">: </w:t>
      </w:r>
      <w:r w:rsidRPr="000F2F37">
        <w:t>Maximal residual frequency error values due to both satellite and UE mobility</w:t>
      </w:r>
    </w:p>
    <w:tbl>
      <w:tblPr>
        <w:tblStyle w:val="Grilledutableau"/>
        <w:tblW w:w="5000" w:type="pct"/>
        <w:jc w:val="center"/>
        <w:tblLook w:val="04A0" w:firstRow="1" w:lastRow="0" w:firstColumn="1" w:lastColumn="0" w:noHBand="0" w:noVBand="1"/>
      </w:tblPr>
      <w:tblGrid>
        <w:gridCol w:w="1056"/>
        <w:gridCol w:w="1425"/>
        <w:gridCol w:w="1755"/>
        <w:gridCol w:w="1305"/>
        <w:gridCol w:w="4421"/>
      </w:tblGrid>
      <w:tr w:rsidR="000F2F37" w:rsidRPr="00FA20AB" w14:paraId="6B57B44E" w14:textId="77777777" w:rsidTr="000F2F37">
        <w:trPr>
          <w:trHeight w:val="806"/>
          <w:jc w:val="center"/>
        </w:trPr>
        <w:tc>
          <w:tcPr>
            <w:tcW w:w="530" w:type="pct"/>
            <w:vAlign w:val="center"/>
          </w:tcPr>
          <w:p w14:paraId="3945E48E" w14:textId="77777777" w:rsidR="000F2F37" w:rsidRDefault="000F2F37" w:rsidP="00E63CC5">
            <w:pPr>
              <w:keepNext/>
            </w:pPr>
            <w:r>
              <w:t>Scenario</w:t>
            </w:r>
          </w:p>
        </w:tc>
        <w:tc>
          <w:tcPr>
            <w:tcW w:w="715" w:type="pct"/>
          </w:tcPr>
          <w:p w14:paraId="495DF3ED" w14:textId="77777777" w:rsidR="000F2F37" w:rsidRDefault="000F2F37" w:rsidP="00E63CC5">
            <w:pPr>
              <w:keepNext/>
            </w:pPr>
            <w:r>
              <w:t>Satellite altitude [km]</w:t>
            </w:r>
          </w:p>
        </w:tc>
        <w:tc>
          <w:tcPr>
            <w:tcW w:w="881" w:type="pct"/>
          </w:tcPr>
          <w:p w14:paraId="3463AADB" w14:textId="77777777" w:rsidR="000F2F37" w:rsidRDefault="000F2F37" w:rsidP="00E63CC5">
            <w:pPr>
              <w:keepNext/>
            </w:pPr>
            <w:r>
              <w:t>Beam footprint diameter [km]</w:t>
            </w:r>
          </w:p>
        </w:tc>
        <w:tc>
          <w:tcPr>
            <w:tcW w:w="655" w:type="pct"/>
          </w:tcPr>
          <w:p w14:paraId="6E9E72A4" w14:textId="77777777" w:rsidR="000F2F37" w:rsidRDefault="000F2F37" w:rsidP="00E63CC5">
            <w:pPr>
              <w:keepNext/>
            </w:pPr>
            <w:r>
              <w:t>UE velocity [km/h]</w:t>
            </w:r>
          </w:p>
        </w:tc>
        <w:tc>
          <w:tcPr>
            <w:tcW w:w="2220" w:type="pct"/>
          </w:tcPr>
          <w:p w14:paraId="4FA0EAAC" w14:textId="77777777" w:rsidR="000F2F37" w:rsidRDefault="000F2F37" w:rsidP="00E63CC5">
            <w:pPr>
              <w:keepNext/>
            </w:pPr>
            <w:r>
              <w:t>Max Doppler shift residual error due to both satellite and UE mobility normalized by the carrier frequency [ppm]</w:t>
            </w:r>
          </w:p>
        </w:tc>
      </w:tr>
      <w:tr w:rsidR="000F2F37" w14:paraId="21A6F9F1" w14:textId="77777777" w:rsidTr="000F2F37">
        <w:trPr>
          <w:trHeight w:val="567"/>
          <w:jc w:val="center"/>
        </w:trPr>
        <w:tc>
          <w:tcPr>
            <w:tcW w:w="530" w:type="pct"/>
            <w:vAlign w:val="center"/>
          </w:tcPr>
          <w:p w14:paraId="1EACFCCA" w14:textId="77777777" w:rsidR="000F2F37" w:rsidRDefault="000F2F37" w:rsidP="00E63CC5">
            <w:pPr>
              <w:keepNext/>
            </w:pPr>
            <w:r>
              <w:t>C &amp; D</w:t>
            </w:r>
          </w:p>
        </w:tc>
        <w:tc>
          <w:tcPr>
            <w:tcW w:w="715" w:type="pct"/>
            <w:vAlign w:val="center"/>
          </w:tcPr>
          <w:p w14:paraId="6D6A8CF3" w14:textId="77777777" w:rsidR="000F2F37" w:rsidRDefault="000F2F37" w:rsidP="00E63CC5">
            <w:pPr>
              <w:keepNext/>
              <w:jc w:val="center"/>
            </w:pPr>
            <w:r>
              <w:t>600</w:t>
            </w:r>
          </w:p>
        </w:tc>
        <w:tc>
          <w:tcPr>
            <w:tcW w:w="881" w:type="pct"/>
            <w:vAlign w:val="center"/>
          </w:tcPr>
          <w:p w14:paraId="2BAE2FA1" w14:textId="77777777" w:rsidR="000F2F37" w:rsidRDefault="000F2F37" w:rsidP="00E63CC5">
            <w:pPr>
              <w:keepNext/>
              <w:jc w:val="center"/>
            </w:pPr>
            <w:r>
              <w:t>200</w:t>
            </w:r>
          </w:p>
        </w:tc>
        <w:tc>
          <w:tcPr>
            <w:tcW w:w="655" w:type="pct"/>
            <w:vAlign w:val="center"/>
          </w:tcPr>
          <w:p w14:paraId="5465F5F3" w14:textId="77777777" w:rsidR="000F2F37" w:rsidRDefault="000F2F37" w:rsidP="00E63CC5">
            <w:pPr>
              <w:keepNext/>
              <w:jc w:val="center"/>
            </w:pPr>
            <w:r>
              <w:t>1000</w:t>
            </w:r>
          </w:p>
        </w:tc>
        <w:tc>
          <w:tcPr>
            <w:tcW w:w="2220" w:type="pct"/>
            <w:vAlign w:val="center"/>
          </w:tcPr>
          <w:p w14:paraId="66994989" w14:textId="77777777" w:rsidR="000F2F37" w:rsidRDefault="000F2F37" w:rsidP="00E63CC5">
            <w:pPr>
              <w:keepNext/>
              <w:spacing w:after="200" w:line="276" w:lineRule="auto"/>
              <w:jc w:val="center"/>
            </w:pPr>
            <w:r>
              <w:t>+/-4,30</w:t>
            </w:r>
          </w:p>
        </w:tc>
      </w:tr>
      <w:tr w:rsidR="000F2F37" w14:paraId="3A73F555" w14:textId="77777777" w:rsidTr="000F2F37">
        <w:trPr>
          <w:trHeight w:val="567"/>
          <w:jc w:val="center"/>
        </w:trPr>
        <w:tc>
          <w:tcPr>
            <w:tcW w:w="530" w:type="pct"/>
            <w:vAlign w:val="center"/>
          </w:tcPr>
          <w:p w14:paraId="1DCF5EFB" w14:textId="77777777" w:rsidR="000F2F37" w:rsidRDefault="000F2F37" w:rsidP="00E63CC5">
            <w:pPr>
              <w:keepNext/>
            </w:pPr>
            <w:r>
              <w:t>C &amp; D</w:t>
            </w:r>
          </w:p>
        </w:tc>
        <w:tc>
          <w:tcPr>
            <w:tcW w:w="715" w:type="pct"/>
            <w:vAlign w:val="center"/>
          </w:tcPr>
          <w:p w14:paraId="377B8126" w14:textId="77777777" w:rsidR="000F2F37" w:rsidRDefault="000F2F37" w:rsidP="00E63CC5">
            <w:pPr>
              <w:keepNext/>
              <w:jc w:val="center"/>
            </w:pPr>
            <w:r>
              <w:t>600</w:t>
            </w:r>
          </w:p>
        </w:tc>
        <w:tc>
          <w:tcPr>
            <w:tcW w:w="881" w:type="pct"/>
            <w:vAlign w:val="center"/>
          </w:tcPr>
          <w:p w14:paraId="181670F7" w14:textId="77777777" w:rsidR="000F2F37" w:rsidRDefault="000F2F37" w:rsidP="00E63CC5">
            <w:pPr>
              <w:keepNext/>
              <w:jc w:val="center"/>
            </w:pPr>
            <w:r>
              <w:t>200</w:t>
            </w:r>
          </w:p>
        </w:tc>
        <w:tc>
          <w:tcPr>
            <w:tcW w:w="655" w:type="pct"/>
            <w:vAlign w:val="center"/>
          </w:tcPr>
          <w:p w14:paraId="2FF86542" w14:textId="77777777" w:rsidR="000F2F37" w:rsidRDefault="000F2F37" w:rsidP="00E63CC5">
            <w:pPr>
              <w:keepNext/>
              <w:jc w:val="center"/>
            </w:pPr>
            <w:r>
              <w:t>500</w:t>
            </w:r>
          </w:p>
        </w:tc>
        <w:tc>
          <w:tcPr>
            <w:tcW w:w="2220" w:type="pct"/>
            <w:vAlign w:val="center"/>
          </w:tcPr>
          <w:p w14:paraId="67517149" w14:textId="77777777" w:rsidR="000F2F37" w:rsidRDefault="000F2F37" w:rsidP="00E63CC5">
            <w:pPr>
              <w:keepNext/>
              <w:jc w:val="center"/>
            </w:pPr>
            <w:r>
              <w:t>+/-4,22</w:t>
            </w:r>
          </w:p>
        </w:tc>
      </w:tr>
      <w:tr w:rsidR="000F2F37" w14:paraId="0358EDE3" w14:textId="77777777" w:rsidTr="000F2F37">
        <w:trPr>
          <w:trHeight w:val="567"/>
          <w:jc w:val="center"/>
        </w:trPr>
        <w:tc>
          <w:tcPr>
            <w:tcW w:w="530" w:type="pct"/>
            <w:vAlign w:val="center"/>
          </w:tcPr>
          <w:p w14:paraId="0D97825E" w14:textId="77777777" w:rsidR="000F2F37" w:rsidRDefault="000F2F37" w:rsidP="00E63CC5">
            <w:pPr>
              <w:keepNext/>
            </w:pPr>
            <w:r>
              <w:t>C &amp; D</w:t>
            </w:r>
          </w:p>
        </w:tc>
        <w:tc>
          <w:tcPr>
            <w:tcW w:w="715" w:type="pct"/>
            <w:vAlign w:val="center"/>
          </w:tcPr>
          <w:p w14:paraId="08710461" w14:textId="77777777" w:rsidR="000F2F37" w:rsidRDefault="000F2F37" w:rsidP="00E63CC5">
            <w:pPr>
              <w:keepNext/>
              <w:jc w:val="center"/>
            </w:pPr>
            <w:r>
              <w:t>600</w:t>
            </w:r>
          </w:p>
        </w:tc>
        <w:tc>
          <w:tcPr>
            <w:tcW w:w="881" w:type="pct"/>
            <w:vAlign w:val="center"/>
          </w:tcPr>
          <w:p w14:paraId="72C1A180" w14:textId="77777777" w:rsidR="000F2F37" w:rsidRDefault="000F2F37" w:rsidP="00E63CC5">
            <w:pPr>
              <w:keepNext/>
              <w:jc w:val="center"/>
            </w:pPr>
            <w:r>
              <w:t>200</w:t>
            </w:r>
          </w:p>
        </w:tc>
        <w:tc>
          <w:tcPr>
            <w:tcW w:w="655" w:type="pct"/>
            <w:vAlign w:val="center"/>
          </w:tcPr>
          <w:p w14:paraId="095DA869" w14:textId="77777777" w:rsidR="000F2F37" w:rsidRDefault="000F2F37" w:rsidP="00E63CC5">
            <w:pPr>
              <w:keepNext/>
              <w:jc w:val="center"/>
            </w:pPr>
            <w:r>
              <w:t>0</w:t>
            </w:r>
          </w:p>
        </w:tc>
        <w:tc>
          <w:tcPr>
            <w:tcW w:w="2220" w:type="pct"/>
            <w:vAlign w:val="center"/>
          </w:tcPr>
          <w:p w14:paraId="69126FD3" w14:textId="77777777" w:rsidR="000F2F37" w:rsidRDefault="000F2F37" w:rsidP="00E63CC5">
            <w:pPr>
              <w:keepNext/>
              <w:jc w:val="center"/>
            </w:pPr>
            <w:r>
              <w:t>+/-4,14</w:t>
            </w:r>
          </w:p>
        </w:tc>
      </w:tr>
      <w:tr w:rsidR="000F2F37" w14:paraId="737FCE85" w14:textId="77777777" w:rsidTr="000F2F37">
        <w:trPr>
          <w:trHeight w:val="567"/>
          <w:jc w:val="center"/>
        </w:trPr>
        <w:tc>
          <w:tcPr>
            <w:tcW w:w="530" w:type="pct"/>
            <w:vAlign w:val="center"/>
          </w:tcPr>
          <w:p w14:paraId="05AAD717" w14:textId="77777777" w:rsidR="000F2F37" w:rsidRDefault="000F2F37" w:rsidP="00E63CC5">
            <w:pPr>
              <w:keepNext/>
            </w:pPr>
            <w:r>
              <w:t>C &amp; D</w:t>
            </w:r>
          </w:p>
        </w:tc>
        <w:tc>
          <w:tcPr>
            <w:tcW w:w="715" w:type="pct"/>
            <w:vAlign w:val="center"/>
          </w:tcPr>
          <w:p w14:paraId="060A349F" w14:textId="77777777" w:rsidR="000F2F37" w:rsidRDefault="000F2F37" w:rsidP="00E63CC5">
            <w:pPr>
              <w:keepNext/>
              <w:jc w:val="center"/>
            </w:pPr>
            <w:r>
              <w:t>1200</w:t>
            </w:r>
          </w:p>
        </w:tc>
        <w:tc>
          <w:tcPr>
            <w:tcW w:w="881" w:type="pct"/>
            <w:vAlign w:val="center"/>
          </w:tcPr>
          <w:p w14:paraId="50917221" w14:textId="77777777" w:rsidR="000F2F37" w:rsidRDefault="000F2F37" w:rsidP="00E63CC5">
            <w:pPr>
              <w:keepNext/>
              <w:jc w:val="center"/>
            </w:pPr>
            <w:r>
              <w:t>200</w:t>
            </w:r>
          </w:p>
        </w:tc>
        <w:tc>
          <w:tcPr>
            <w:tcW w:w="655" w:type="pct"/>
            <w:vAlign w:val="center"/>
          </w:tcPr>
          <w:p w14:paraId="76D448EE" w14:textId="77777777" w:rsidR="000F2F37" w:rsidRDefault="000F2F37" w:rsidP="00E63CC5">
            <w:pPr>
              <w:keepNext/>
              <w:jc w:val="center"/>
            </w:pPr>
            <w:r>
              <w:t>1000</w:t>
            </w:r>
          </w:p>
        </w:tc>
        <w:tc>
          <w:tcPr>
            <w:tcW w:w="2220" w:type="pct"/>
            <w:vAlign w:val="center"/>
          </w:tcPr>
          <w:p w14:paraId="48FED6B6" w14:textId="77777777" w:rsidR="000F2F37" w:rsidRDefault="000F2F37" w:rsidP="00E63CC5">
            <w:pPr>
              <w:keepNext/>
              <w:jc w:val="center"/>
            </w:pPr>
            <w:r>
              <w:t>+/-2,1</w:t>
            </w:r>
          </w:p>
        </w:tc>
      </w:tr>
      <w:tr w:rsidR="000F2F37" w14:paraId="593D255A" w14:textId="77777777" w:rsidTr="000F2F37">
        <w:trPr>
          <w:trHeight w:val="567"/>
          <w:jc w:val="center"/>
        </w:trPr>
        <w:tc>
          <w:tcPr>
            <w:tcW w:w="530" w:type="pct"/>
            <w:vAlign w:val="center"/>
          </w:tcPr>
          <w:p w14:paraId="0922AC52" w14:textId="77777777" w:rsidR="000F2F37" w:rsidRDefault="000F2F37" w:rsidP="00E63CC5">
            <w:pPr>
              <w:keepNext/>
            </w:pPr>
            <w:r>
              <w:t>C &amp; D</w:t>
            </w:r>
          </w:p>
        </w:tc>
        <w:tc>
          <w:tcPr>
            <w:tcW w:w="715" w:type="pct"/>
            <w:vAlign w:val="center"/>
          </w:tcPr>
          <w:p w14:paraId="12397DC3" w14:textId="77777777" w:rsidR="000F2F37" w:rsidRDefault="000F2F37" w:rsidP="00E63CC5">
            <w:pPr>
              <w:keepNext/>
              <w:jc w:val="center"/>
            </w:pPr>
            <w:r>
              <w:t>1200</w:t>
            </w:r>
          </w:p>
        </w:tc>
        <w:tc>
          <w:tcPr>
            <w:tcW w:w="881" w:type="pct"/>
            <w:vAlign w:val="center"/>
          </w:tcPr>
          <w:p w14:paraId="429A6F9E" w14:textId="77777777" w:rsidR="000F2F37" w:rsidRDefault="000F2F37" w:rsidP="00E63CC5">
            <w:pPr>
              <w:keepNext/>
              <w:jc w:val="center"/>
            </w:pPr>
            <w:r>
              <w:t>200</w:t>
            </w:r>
          </w:p>
        </w:tc>
        <w:tc>
          <w:tcPr>
            <w:tcW w:w="655" w:type="pct"/>
            <w:vAlign w:val="center"/>
          </w:tcPr>
          <w:p w14:paraId="39B8C8B4" w14:textId="77777777" w:rsidR="000F2F37" w:rsidRDefault="000F2F37" w:rsidP="00E63CC5">
            <w:pPr>
              <w:keepNext/>
              <w:jc w:val="center"/>
            </w:pPr>
            <w:r>
              <w:t>500</w:t>
            </w:r>
          </w:p>
        </w:tc>
        <w:tc>
          <w:tcPr>
            <w:tcW w:w="2220" w:type="pct"/>
            <w:vAlign w:val="center"/>
          </w:tcPr>
          <w:p w14:paraId="00F88619" w14:textId="77777777" w:rsidR="000F2F37" w:rsidRDefault="000F2F37" w:rsidP="00E63CC5">
            <w:pPr>
              <w:keepNext/>
              <w:jc w:val="center"/>
            </w:pPr>
            <w:r>
              <w:t>+/-2,05</w:t>
            </w:r>
          </w:p>
        </w:tc>
      </w:tr>
      <w:tr w:rsidR="000F2F37" w14:paraId="26DB278E" w14:textId="77777777" w:rsidTr="000F2F37">
        <w:trPr>
          <w:trHeight w:val="567"/>
          <w:jc w:val="center"/>
        </w:trPr>
        <w:tc>
          <w:tcPr>
            <w:tcW w:w="530" w:type="pct"/>
            <w:vAlign w:val="center"/>
          </w:tcPr>
          <w:p w14:paraId="19CED759" w14:textId="77777777" w:rsidR="000F2F37" w:rsidRDefault="000F2F37" w:rsidP="00E63CC5">
            <w:pPr>
              <w:keepNext/>
            </w:pPr>
            <w:r>
              <w:t>C &amp; D</w:t>
            </w:r>
          </w:p>
        </w:tc>
        <w:tc>
          <w:tcPr>
            <w:tcW w:w="715" w:type="pct"/>
            <w:vAlign w:val="center"/>
          </w:tcPr>
          <w:p w14:paraId="2F28349E" w14:textId="77777777" w:rsidR="000F2F37" w:rsidRDefault="000F2F37" w:rsidP="00E63CC5">
            <w:pPr>
              <w:keepNext/>
              <w:jc w:val="center"/>
            </w:pPr>
            <w:r>
              <w:t>1200</w:t>
            </w:r>
          </w:p>
        </w:tc>
        <w:tc>
          <w:tcPr>
            <w:tcW w:w="881" w:type="pct"/>
            <w:vAlign w:val="center"/>
          </w:tcPr>
          <w:p w14:paraId="34776F96" w14:textId="77777777" w:rsidR="000F2F37" w:rsidRDefault="000F2F37" w:rsidP="00E63CC5">
            <w:pPr>
              <w:keepNext/>
              <w:jc w:val="center"/>
            </w:pPr>
            <w:r>
              <w:t>200</w:t>
            </w:r>
          </w:p>
        </w:tc>
        <w:tc>
          <w:tcPr>
            <w:tcW w:w="655" w:type="pct"/>
            <w:vAlign w:val="center"/>
          </w:tcPr>
          <w:p w14:paraId="65008D54" w14:textId="77777777" w:rsidR="000F2F37" w:rsidRDefault="000F2F37" w:rsidP="00E63CC5">
            <w:pPr>
              <w:keepNext/>
              <w:jc w:val="center"/>
            </w:pPr>
            <w:r>
              <w:t>0</w:t>
            </w:r>
          </w:p>
        </w:tc>
        <w:tc>
          <w:tcPr>
            <w:tcW w:w="2220" w:type="pct"/>
            <w:vAlign w:val="center"/>
          </w:tcPr>
          <w:p w14:paraId="613AC66D" w14:textId="77777777" w:rsidR="000F2F37" w:rsidRDefault="000F2F37" w:rsidP="00E63CC5">
            <w:pPr>
              <w:keepNext/>
              <w:jc w:val="center"/>
            </w:pPr>
            <w:r>
              <w:t>+/-2,01</w:t>
            </w:r>
          </w:p>
        </w:tc>
      </w:tr>
    </w:tbl>
    <w:p w14:paraId="19F29CAD" w14:textId="0B715385" w:rsidR="00F54C8D" w:rsidRDefault="00F54C8D" w:rsidP="00F54C8D"/>
    <w:p w14:paraId="159DD169" w14:textId="3B61E768" w:rsidR="00F54C8D" w:rsidRDefault="001642AB" w:rsidP="00F54C8D">
      <w:r>
        <w:t xml:space="preserve">As </w:t>
      </w:r>
      <w:r w:rsidR="00CC2465">
        <w:t>noted in [5</w:t>
      </w:r>
      <w:r>
        <w:t>], the original NR-PSS/SSS design was performed taking into account the following target</w:t>
      </w:r>
      <w:r w:rsidR="00CC2465">
        <w:t xml:space="preserve"> requirements, extracted from [6</w:t>
      </w:r>
      <w:r>
        <w:t>]:</w:t>
      </w:r>
    </w:p>
    <w:p w14:paraId="6D8BEE4D" w14:textId="77777777" w:rsidR="007365FC" w:rsidRDefault="007365FC" w:rsidP="007365FC">
      <w:pPr>
        <w:pStyle w:val="Paragraphedeliste"/>
        <w:numPr>
          <w:ilvl w:val="0"/>
          <w:numId w:val="20"/>
        </w:numPr>
        <w:ind w:leftChars="0"/>
      </w:pPr>
      <w:r>
        <w:t>Robustness against initial frequency offset up to 5 ppm</w:t>
      </w:r>
    </w:p>
    <w:p w14:paraId="2C41F370" w14:textId="4793FF53" w:rsidR="007365FC" w:rsidRDefault="007365FC" w:rsidP="007365FC">
      <w:pPr>
        <w:pStyle w:val="Paragraphedeliste"/>
        <w:numPr>
          <w:ilvl w:val="0"/>
          <w:numId w:val="20"/>
        </w:numPr>
        <w:ind w:leftChars="0"/>
      </w:pPr>
      <w:r>
        <w:t>10 ppm as optional requirement</w:t>
      </w:r>
    </w:p>
    <w:p w14:paraId="7924E614" w14:textId="0B5AC5BA" w:rsidR="007365FC" w:rsidRDefault="007365FC" w:rsidP="007365FC">
      <w:pPr>
        <w:pStyle w:val="Paragraphedeliste"/>
        <w:numPr>
          <w:ilvl w:val="0"/>
          <w:numId w:val="20"/>
        </w:numPr>
        <w:ind w:leftChars="0"/>
      </w:pPr>
      <w:r>
        <w:t>Reasonable complexity for NR-PSS/SSS detection</w:t>
      </w:r>
    </w:p>
    <w:p w14:paraId="179B77AB" w14:textId="59327E5E" w:rsidR="007365FC" w:rsidRDefault="007365FC" w:rsidP="007365FC">
      <w:pPr>
        <w:pStyle w:val="Paragraphedeliste"/>
        <w:numPr>
          <w:ilvl w:val="0"/>
          <w:numId w:val="20"/>
        </w:numPr>
        <w:ind w:leftChars="0"/>
      </w:pPr>
      <w:r>
        <w:t>Good one-shot detection probability at -6 dB received baseband SNR condition with less than 1% false alarm rate</w:t>
      </w:r>
    </w:p>
    <w:p w14:paraId="72B44907" w14:textId="27AAF812" w:rsidR="001642AB" w:rsidRDefault="004F7B74" w:rsidP="007365FC">
      <w:pPr>
        <w:pStyle w:val="Paragraphedeliste"/>
        <w:numPr>
          <w:ilvl w:val="0"/>
          <w:numId w:val="20"/>
        </w:numPr>
        <w:ind w:leftChars="0"/>
      </w:pPr>
      <w:r>
        <w:t>…</w:t>
      </w:r>
    </w:p>
    <w:p w14:paraId="1DB793BC" w14:textId="20545B91" w:rsidR="008813A8" w:rsidRDefault="008813A8" w:rsidP="00BF2EB4">
      <w:r>
        <w:t>In a terrestrial network, this value of 5</w:t>
      </w:r>
      <w:r w:rsidR="00DE003C">
        <w:t xml:space="preserve"> </w:t>
      </w:r>
      <w:r>
        <w:t>ppm is mainly due to the UE local oscillator inaccuracy.</w:t>
      </w:r>
    </w:p>
    <w:p w14:paraId="18EEA6D4" w14:textId="696B197E" w:rsidR="00490E1D" w:rsidRDefault="00DE003C" w:rsidP="00BF2EB4">
      <w:r>
        <w:t>Then, it was observed in [5</w:t>
      </w:r>
      <w:r w:rsidR="00F67956">
        <w:t>] that i</w:t>
      </w:r>
      <w:r w:rsidR="00F67956" w:rsidRPr="00F67956">
        <w:t xml:space="preserve">n order to avoid an initial AFC lock of the order of one second or less during </w:t>
      </w:r>
      <w:r w:rsidR="008813A8">
        <w:t xml:space="preserve">NTN </w:t>
      </w:r>
      <w:r w:rsidR="00F67956" w:rsidRPr="00F67956">
        <w:t>frequency synchronization, the residual Doppler shift after pre-compensation should be in the order of 5 ppm or less with LEO=600 km.</w:t>
      </w:r>
      <w:r w:rsidR="00F67956">
        <w:t xml:space="preserve"> This condition is verified under the hypothesis of </w:t>
      </w:r>
      <w:r w:rsidR="00F67956">
        <w:fldChar w:fldCharType="begin"/>
      </w:r>
      <w:r w:rsidR="00F67956">
        <w:instrText xml:space="preserve"> REF _Ref7718321 \h </w:instrText>
      </w:r>
      <w:r w:rsidR="00F67956">
        <w:fldChar w:fldCharType="separate"/>
      </w:r>
      <w:r w:rsidR="00DB78C7">
        <w:t xml:space="preserve">Table </w:t>
      </w:r>
      <w:r w:rsidR="00DB78C7">
        <w:rPr>
          <w:noProof/>
        </w:rPr>
        <w:t>1</w:t>
      </w:r>
      <w:r w:rsidR="00F67956">
        <w:fldChar w:fldCharType="end"/>
      </w:r>
      <w:r w:rsidR="00F67956">
        <w:t xml:space="preserve">. </w:t>
      </w:r>
    </w:p>
    <w:p w14:paraId="0254BDF9" w14:textId="29BD1B6E" w:rsidR="00F67956" w:rsidRDefault="007711A5" w:rsidP="00BF2EB4">
      <w:r w:rsidRPr="007711A5">
        <w:t>In [11], we noted that</w:t>
      </w:r>
      <w:r>
        <w:rPr>
          <w:b/>
        </w:rPr>
        <w:t xml:space="preserve"> </w:t>
      </w:r>
      <w:r>
        <w:rPr>
          <w:i/>
        </w:rPr>
        <w:t>f</w:t>
      </w:r>
      <w:r w:rsidR="00BA4269" w:rsidRPr="00BA4269">
        <w:rPr>
          <w:i/>
        </w:rPr>
        <w:t>or the DL, t</w:t>
      </w:r>
      <w:r w:rsidR="00F67956" w:rsidRPr="00F67956">
        <w:rPr>
          <w:i/>
        </w:rPr>
        <w:t xml:space="preserve">he </w:t>
      </w:r>
      <w:r w:rsidR="00486EF9">
        <w:rPr>
          <w:i/>
        </w:rPr>
        <w:t>existence of</w:t>
      </w:r>
      <w:r w:rsidR="00DE003C">
        <w:rPr>
          <w:i/>
        </w:rPr>
        <w:t xml:space="preserve"> a </w:t>
      </w:r>
      <w:r w:rsidR="00F67956" w:rsidRPr="00F67956">
        <w:rPr>
          <w:i/>
        </w:rPr>
        <w:t xml:space="preserve">scenario with a residual Doppler </w:t>
      </w:r>
      <w:r w:rsidR="009B53E9">
        <w:rPr>
          <w:i/>
        </w:rPr>
        <w:t xml:space="preserve">shift after pre-compensation </w:t>
      </w:r>
      <w:r w:rsidR="00F67956" w:rsidRPr="00F67956">
        <w:rPr>
          <w:i/>
        </w:rPr>
        <w:t xml:space="preserve">higher than 5 ppm should be </w:t>
      </w:r>
      <w:r w:rsidR="00486EF9">
        <w:rPr>
          <w:i/>
        </w:rPr>
        <w:t>investigated</w:t>
      </w:r>
      <w:r w:rsidR="00F67956" w:rsidRPr="00F67956">
        <w:rPr>
          <w:i/>
        </w:rPr>
        <w:t>.</w:t>
      </w:r>
    </w:p>
    <w:p w14:paraId="4955CCDC" w14:textId="3580D2AD" w:rsidR="00B24EF5" w:rsidRDefault="00736A63" w:rsidP="00BF2EB4">
      <w:r>
        <w:t>The above analysis relies</w:t>
      </w:r>
      <w:r w:rsidR="00144224">
        <w:t xml:space="preserve"> on the hypothesis that the maximum beam footpri</w:t>
      </w:r>
      <w:r w:rsidR="00560CBE">
        <w:t>nt diameter is equal to 200km. I</w:t>
      </w:r>
      <w:r w:rsidR="00144224">
        <w:t xml:space="preserve">n last </w:t>
      </w:r>
      <w:r>
        <w:t>RAN1#98</w:t>
      </w:r>
      <w:r w:rsidR="00144224">
        <w:t xml:space="preserve"> meeting </w:t>
      </w:r>
      <w:r>
        <w:t xml:space="preserve">this value seemed controversial and a refined value/justification is expected in the current meeting. </w:t>
      </w:r>
      <w:r w:rsidR="00A45F99">
        <w:t xml:space="preserve">In practice, </w:t>
      </w:r>
      <w:r w:rsidR="00B24EF5">
        <w:t xml:space="preserve">as noticed in the previous table, </w:t>
      </w:r>
      <w:r w:rsidR="00A45F99">
        <w:t xml:space="preserve">the maximum relative Doppler value in a beam depends on the footprint parameter but also on the altitude </w:t>
      </w:r>
      <w:r w:rsidR="00A45F99" w:rsidRPr="00F30FE1">
        <w:rPr>
          <w:i/>
        </w:rPr>
        <w:t>h</w:t>
      </w:r>
      <w:r w:rsidR="00A45F99">
        <w:t xml:space="preserve">. </w:t>
      </w:r>
      <w:r w:rsidR="00B24EF5">
        <w:t xml:space="preserve">As a result, </w:t>
      </w:r>
      <w:r w:rsidR="00AB03AD">
        <w:t xml:space="preserve">observe that </w:t>
      </w:r>
      <w:r w:rsidR="00B24EF5">
        <w:t xml:space="preserve">for a given maximum residual Doppler value after pre-correction, </w:t>
      </w:r>
      <w:r w:rsidR="00AB03AD">
        <w:t>the maximum diameter size depends (increa</w:t>
      </w:r>
      <w:r w:rsidR="00B24EF5">
        <w:t>ses) of the altitude.</w:t>
      </w:r>
    </w:p>
    <w:p w14:paraId="66D9CE81" w14:textId="4FFED954" w:rsidR="00B24EF5" w:rsidRDefault="00FA2F22" w:rsidP="00BF2EB4">
      <w:r w:rsidRPr="006D0721">
        <w:rPr>
          <w:b/>
        </w:rPr>
        <w:t>Observation 1</w:t>
      </w:r>
      <w:r w:rsidR="00B24EF5">
        <w:t xml:space="preserve">: </w:t>
      </w:r>
      <w:r w:rsidR="00736A63">
        <w:rPr>
          <w:i/>
        </w:rPr>
        <w:t>F</w:t>
      </w:r>
      <w:r w:rsidR="00B24EF5" w:rsidRPr="00B24EF5">
        <w:rPr>
          <w:i/>
        </w:rPr>
        <w:t>or a given maximum residual Doppler value after pre-correction, the maximum diameter size depends (increases) of the altitude</w:t>
      </w:r>
      <w:r w:rsidR="00B24EF5">
        <w:t>.</w:t>
      </w:r>
    </w:p>
    <w:p w14:paraId="2018B91E" w14:textId="116A5983" w:rsidR="00001D14" w:rsidRDefault="00FA2F22" w:rsidP="004E6749">
      <w:r w:rsidRPr="006D0721">
        <w:rPr>
          <w:b/>
        </w:rPr>
        <w:t>Proposal 1</w:t>
      </w:r>
      <w:r w:rsidR="00B24EF5">
        <w:t xml:space="preserve">: </w:t>
      </w:r>
      <w:r w:rsidR="00736A63" w:rsidRPr="00736A63">
        <w:rPr>
          <w:i/>
        </w:rPr>
        <w:t>For residual Doppler evaluations,</w:t>
      </w:r>
      <w:r w:rsidR="00736A63">
        <w:t xml:space="preserve"> </w:t>
      </w:r>
      <w:r w:rsidR="00736A63">
        <w:rPr>
          <w:i/>
        </w:rPr>
        <w:t>s</w:t>
      </w:r>
      <w:r w:rsidR="008A4082" w:rsidRPr="008A4082">
        <w:rPr>
          <w:i/>
        </w:rPr>
        <w:t>et the maximum acceptable footprint diameter as a function of the altitude</w:t>
      </w:r>
      <w:r w:rsidR="008A4082">
        <w:t xml:space="preserve">. </w:t>
      </w:r>
    </w:p>
    <w:p w14:paraId="6DF28F82" w14:textId="0D786870" w:rsidR="00490E1D" w:rsidRDefault="00490E1D" w:rsidP="004E6749"/>
    <w:p w14:paraId="5F4B4E0D" w14:textId="66FE3FDB" w:rsidR="00490E1D" w:rsidRDefault="00490E1D" w:rsidP="004E6749"/>
    <w:p w14:paraId="42E4AD6B" w14:textId="77777777" w:rsidR="00490E1D" w:rsidRPr="00C957F7" w:rsidRDefault="00490E1D" w:rsidP="004E6749"/>
    <w:p w14:paraId="2CCA6EAA" w14:textId="097B9DBE" w:rsidR="00DF4210" w:rsidRDefault="00F05185" w:rsidP="00F05185">
      <w:pPr>
        <w:pStyle w:val="Titre1"/>
      </w:pPr>
      <w:r>
        <w:t>UL Timing Advance</w:t>
      </w:r>
    </w:p>
    <w:p w14:paraId="665F3772" w14:textId="77777777" w:rsidR="00DF4210" w:rsidRPr="00DF4210" w:rsidRDefault="00DF4210" w:rsidP="00DF4210"/>
    <w:p w14:paraId="1A037D02" w14:textId="70C76714" w:rsidR="00F05185" w:rsidRPr="00DF4210" w:rsidRDefault="00DF4210" w:rsidP="00F05185">
      <w:pPr>
        <w:rPr>
          <w:b/>
        </w:rPr>
      </w:pPr>
      <w:r w:rsidRPr="00DF4210">
        <w:rPr>
          <w:b/>
        </w:rPr>
        <w:t>Initial TA acquisition and indication</w:t>
      </w:r>
    </w:p>
    <w:p w14:paraId="5D48ECA7" w14:textId="51125722" w:rsidR="00DF4210" w:rsidRDefault="00B60B7B" w:rsidP="00F05185">
      <w:r>
        <w:t>In [7</w:t>
      </w:r>
      <w:r w:rsidR="003C2D14">
        <w:t>], the summary of RAN1#97 discussions on the subject, two options were proposed for the acquisition of the common TA:</w:t>
      </w:r>
    </w:p>
    <w:p w14:paraId="32273AE5" w14:textId="77777777" w:rsidR="003C2D14" w:rsidRPr="006B1A99" w:rsidRDefault="003C2D14" w:rsidP="003C2D14">
      <w:pPr>
        <w:pStyle w:val="Paragraphedeliste"/>
        <w:numPr>
          <w:ilvl w:val="3"/>
          <w:numId w:val="26"/>
        </w:numPr>
        <w:snapToGrid w:val="0"/>
        <w:spacing w:after="0"/>
        <w:ind w:leftChars="0" w:left="840"/>
        <w:rPr>
          <w:i/>
          <w:color w:val="000000" w:themeColor="text1"/>
          <w:sz w:val="22"/>
          <w:szCs w:val="20"/>
        </w:rPr>
      </w:pPr>
      <w:r w:rsidRPr="006B1A99">
        <w:rPr>
          <w:i/>
          <w:color w:val="000000" w:themeColor="text1"/>
          <w:sz w:val="22"/>
          <w:szCs w:val="20"/>
          <w:lang w:eastAsia="zh-CN"/>
        </w:rPr>
        <w:t xml:space="preserve">Option 1: Indication of common TA to </w:t>
      </w:r>
      <w:r w:rsidRPr="006B1A99">
        <w:rPr>
          <w:i/>
          <w:color w:val="000000" w:themeColor="text1"/>
          <w:sz w:val="22"/>
          <w:szCs w:val="20"/>
        </w:rPr>
        <w:t>all users within the coverage of same beam with following</w:t>
      </w:r>
    </w:p>
    <w:p w14:paraId="260B3CCF" w14:textId="77777777"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Broadcasting can be considered as baseline for signalling, e.g., via SIB/MIB</w:t>
      </w:r>
    </w:p>
    <w:p w14:paraId="18288DF8" w14:textId="77777777"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Additional UE-specific TA indicated in RAR with extension of existing TA range</w:t>
      </w:r>
    </w:p>
    <w:p w14:paraId="66DB227B" w14:textId="5B82A04B"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FFS on the reference point   for common TA calculation (e.g., with/without consideration on UE altitude)</w:t>
      </w:r>
    </w:p>
    <w:p w14:paraId="7FC6BC25" w14:textId="77777777" w:rsidR="003C2D14" w:rsidRPr="006B1A99" w:rsidRDefault="003C2D14" w:rsidP="003C2D14">
      <w:pPr>
        <w:pStyle w:val="Paragraphedeliste"/>
        <w:numPr>
          <w:ilvl w:val="3"/>
          <w:numId w:val="26"/>
        </w:numPr>
        <w:snapToGrid w:val="0"/>
        <w:spacing w:after="0"/>
        <w:ind w:leftChars="0" w:left="840"/>
        <w:rPr>
          <w:i/>
          <w:color w:val="000000" w:themeColor="text1"/>
          <w:sz w:val="22"/>
          <w:szCs w:val="20"/>
          <w:lang w:eastAsia="zh-CN"/>
        </w:rPr>
      </w:pPr>
      <w:r w:rsidRPr="006B1A99">
        <w:rPr>
          <w:i/>
          <w:color w:val="000000" w:themeColor="text1"/>
          <w:sz w:val="22"/>
          <w:szCs w:val="20"/>
          <w:lang w:eastAsia="zh-CN"/>
        </w:rPr>
        <w:t>Option 2: Autonomous acquisition of the common TA at UE with known location and satellite ephemeris:   </w:t>
      </w:r>
    </w:p>
    <w:p w14:paraId="062CD420" w14:textId="77777777" w:rsidR="003C2D14" w:rsidRPr="006B1A99" w:rsidRDefault="003C2D14" w:rsidP="003C2D14">
      <w:pPr>
        <w:pStyle w:val="Paragraphedeliste"/>
        <w:numPr>
          <w:ilvl w:val="4"/>
          <w:numId w:val="25"/>
        </w:numPr>
        <w:snapToGrid w:val="0"/>
        <w:spacing w:after="0"/>
        <w:ind w:leftChars="0" w:left="1260"/>
        <w:rPr>
          <w:i/>
          <w:color w:val="000000" w:themeColor="text1"/>
          <w:sz w:val="22"/>
          <w:szCs w:val="20"/>
          <w:lang w:eastAsia="zh-CN"/>
        </w:rPr>
      </w:pPr>
      <w:r w:rsidRPr="006B1A99">
        <w:rPr>
          <w:rFonts w:eastAsia="SimSun"/>
          <w:i/>
          <w:color w:val="000000" w:themeColor="text1"/>
          <w:sz w:val="22"/>
          <w:szCs w:val="20"/>
          <w:lang w:val="en-GB" w:eastAsia="zh-CN"/>
        </w:rPr>
        <w:t xml:space="preserve">FFS on the </w:t>
      </w:r>
      <w:r w:rsidRPr="006B1A99">
        <w:rPr>
          <w:i/>
          <w:color w:val="000000" w:themeColor="text1"/>
          <w:sz w:val="22"/>
          <w:szCs w:val="20"/>
          <w:lang w:eastAsia="zh-CN"/>
        </w:rPr>
        <w:t>impacts on PRACH procedure</w:t>
      </w:r>
    </w:p>
    <w:p w14:paraId="00D28CB2" w14:textId="5D6A61A8" w:rsidR="003C2D14" w:rsidRPr="006B1A99" w:rsidRDefault="003C2D14" w:rsidP="003C2D14">
      <w:pPr>
        <w:pStyle w:val="Paragraphedeliste"/>
        <w:numPr>
          <w:ilvl w:val="4"/>
          <w:numId w:val="25"/>
        </w:numPr>
        <w:snapToGrid w:val="0"/>
        <w:spacing w:after="0"/>
        <w:ind w:leftChars="0" w:left="1260"/>
        <w:rPr>
          <w:rFonts w:eastAsia="Calibri"/>
          <w:i/>
          <w:color w:val="000000" w:themeColor="text1"/>
          <w:sz w:val="22"/>
          <w:szCs w:val="20"/>
          <w:lang w:eastAsia="zh-CN"/>
        </w:rPr>
      </w:pPr>
      <w:r w:rsidRPr="006B1A99">
        <w:rPr>
          <w:rFonts w:eastAsia="SimSun"/>
          <w:i/>
          <w:color w:val="000000" w:themeColor="text1"/>
          <w:sz w:val="22"/>
          <w:szCs w:val="20"/>
          <w:lang w:val="en-GB" w:eastAsia="zh-CN"/>
        </w:rPr>
        <w:t xml:space="preserve">FFS on how to obtain the common TA, e.g., </w:t>
      </w:r>
      <w:r w:rsidRPr="006B1A99">
        <w:rPr>
          <w:i/>
          <w:color w:val="000000" w:themeColor="text1"/>
          <w:sz w:val="22"/>
          <w:szCs w:val="20"/>
          <w:lang w:eastAsia="zh-CN"/>
        </w:rPr>
        <w:t xml:space="preserve">based on </w:t>
      </w:r>
      <w:r w:rsidRPr="006B1A99">
        <w:rPr>
          <w:rFonts w:eastAsiaTheme="minorEastAsia"/>
          <w:i/>
          <w:color w:val="000000" w:themeColor="text1"/>
          <w:sz w:val="22"/>
          <w:szCs w:val="20"/>
          <w:lang w:eastAsia="zh-CN"/>
        </w:rPr>
        <w:t>indication of</w:t>
      </w:r>
      <w:r w:rsidRPr="006B1A99">
        <w:rPr>
          <w:rFonts w:eastAsiaTheme="minorEastAsia" w:hint="eastAsia"/>
          <w:i/>
          <w:color w:val="000000" w:themeColor="text1"/>
          <w:sz w:val="22"/>
          <w:szCs w:val="20"/>
          <w:lang w:eastAsia="zh-CN"/>
        </w:rPr>
        <w:t xml:space="preserve"> </w:t>
      </w:r>
      <w:r w:rsidRPr="006B1A99">
        <w:rPr>
          <w:i/>
          <w:color w:val="000000" w:themeColor="text1"/>
          <w:sz w:val="22"/>
          <w:szCs w:val="20"/>
          <w:lang w:eastAsia="zh-CN"/>
        </w:rPr>
        <w:t>common TA</w:t>
      </w:r>
      <w:r w:rsidRPr="006B1A99">
        <w:rPr>
          <w:rFonts w:eastAsiaTheme="minorEastAsia" w:hint="eastAsia"/>
          <w:i/>
          <w:color w:val="000000" w:themeColor="text1"/>
          <w:sz w:val="22"/>
          <w:szCs w:val="20"/>
          <w:lang w:eastAsia="zh-CN"/>
        </w:rPr>
        <w:t xml:space="preserve"> or a common reference distance</w:t>
      </w:r>
    </w:p>
    <w:p w14:paraId="286C3D91" w14:textId="214F1E17" w:rsidR="003C2D14" w:rsidRPr="006B1A99" w:rsidRDefault="003C2D14" w:rsidP="003C2D14">
      <w:pPr>
        <w:pStyle w:val="Paragraphedeliste"/>
        <w:numPr>
          <w:ilvl w:val="4"/>
          <w:numId w:val="25"/>
        </w:numPr>
        <w:snapToGrid w:val="0"/>
        <w:spacing w:after="0"/>
        <w:ind w:leftChars="0" w:left="1260"/>
        <w:rPr>
          <w:i/>
          <w:color w:val="000000" w:themeColor="text1"/>
          <w:sz w:val="22"/>
          <w:szCs w:val="20"/>
          <w:lang w:eastAsia="zh-CN"/>
        </w:rPr>
      </w:pPr>
      <w:r w:rsidRPr="006B1A99">
        <w:rPr>
          <w:rFonts w:eastAsia="SimSun"/>
          <w:i/>
          <w:color w:val="000000" w:themeColor="text1"/>
          <w:sz w:val="22"/>
          <w:szCs w:val="20"/>
          <w:lang w:val="en-GB" w:eastAsia="zh-CN"/>
        </w:rPr>
        <w:t>FFS on how to obtain the UE specific TA, e.g., additional UE-specific TA indicated in RAR</w:t>
      </w:r>
      <w:r w:rsidRPr="006B1A99">
        <w:rPr>
          <w:rFonts w:eastAsiaTheme="minorEastAsia" w:hint="eastAsia"/>
          <w:i/>
          <w:color w:val="000000" w:themeColor="text1"/>
          <w:sz w:val="22"/>
          <w:szCs w:val="20"/>
          <w:lang w:eastAsia="zh-CN"/>
        </w:rPr>
        <w:t xml:space="preserve"> </w:t>
      </w:r>
      <w:r w:rsidRPr="006B1A99">
        <w:rPr>
          <w:rFonts w:eastAsiaTheme="minorEastAsia"/>
          <w:i/>
          <w:color w:val="000000" w:themeColor="text1"/>
          <w:sz w:val="22"/>
          <w:szCs w:val="20"/>
          <w:lang w:eastAsia="zh-CN"/>
        </w:rPr>
        <w:t xml:space="preserve">or </w:t>
      </w:r>
      <w:r w:rsidRPr="006B1A99">
        <w:rPr>
          <w:rFonts w:eastAsiaTheme="minorEastAsia" w:hint="eastAsia"/>
          <w:i/>
          <w:color w:val="000000" w:themeColor="text1"/>
          <w:sz w:val="22"/>
          <w:szCs w:val="20"/>
          <w:lang w:eastAsia="zh-CN"/>
        </w:rPr>
        <w:t xml:space="preserve">UE </w:t>
      </w:r>
      <w:r w:rsidRPr="006B1A99">
        <w:rPr>
          <w:rFonts w:eastAsiaTheme="minorEastAsia"/>
          <w:i/>
          <w:color w:val="000000" w:themeColor="text1"/>
          <w:sz w:val="22"/>
          <w:szCs w:val="20"/>
          <w:lang w:eastAsia="zh-CN"/>
        </w:rPr>
        <w:t>calculates</w:t>
      </w:r>
      <w:r w:rsidRPr="006B1A99">
        <w:rPr>
          <w:rFonts w:eastAsiaTheme="minorEastAsia" w:hint="eastAsia"/>
          <w:i/>
          <w:color w:val="000000" w:themeColor="text1"/>
          <w:sz w:val="22"/>
          <w:szCs w:val="20"/>
          <w:lang w:eastAsia="zh-CN"/>
        </w:rPr>
        <w:t xml:space="preserve"> its UE </w:t>
      </w:r>
      <w:r w:rsidRPr="006B1A99">
        <w:rPr>
          <w:rFonts w:eastAsiaTheme="minorEastAsia"/>
          <w:i/>
          <w:color w:val="000000" w:themeColor="text1"/>
          <w:sz w:val="22"/>
          <w:szCs w:val="20"/>
          <w:lang w:eastAsia="zh-CN"/>
        </w:rPr>
        <w:t>specific</w:t>
      </w:r>
      <w:r w:rsidRPr="006B1A99">
        <w:rPr>
          <w:rFonts w:eastAsiaTheme="minorEastAsia" w:hint="eastAsia"/>
          <w:i/>
          <w:color w:val="000000" w:themeColor="text1"/>
          <w:sz w:val="22"/>
          <w:szCs w:val="20"/>
          <w:lang w:eastAsia="zh-CN"/>
        </w:rPr>
        <w:t xml:space="preserve"> TA based on </w:t>
      </w:r>
      <w:r w:rsidRPr="006B1A99">
        <w:rPr>
          <w:i/>
          <w:color w:val="000000" w:themeColor="text1"/>
          <w:sz w:val="22"/>
          <w:szCs w:val="20"/>
          <w:lang w:eastAsia="zh-CN"/>
        </w:rPr>
        <w:t>known loca</w:t>
      </w:r>
      <w:r w:rsidR="00863A1E" w:rsidRPr="006B1A99">
        <w:rPr>
          <w:i/>
          <w:color w:val="000000" w:themeColor="text1"/>
          <w:sz w:val="22"/>
          <w:szCs w:val="20"/>
          <w:lang w:eastAsia="zh-CN"/>
        </w:rPr>
        <w:t>tion and satellite ephemeris</w:t>
      </w:r>
    </w:p>
    <w:p w14:paraId="0F883A70" w14:textId="0726376C" w:rsidR="003C2D14" w:rsidRDefault="003C2D14" w:rsidP="00F05185"/>
    <w:p w14:paraId="7C98D371" w14:textId="30E15F61" w:rsidR="00001D14" w:rsidRDefault="002A16AD" w:rsidP="00F05185">
      <w:r>
        <w:t>As noticed in [11]</w:t>
      </w:r>
      <w:r w:rsidR="00001D14">
        <w:t xml:space="preserve">, we cannot assume that all UEs will be always able to estimate their position with a good accuracy. </w:t>
      </w:r>
      <w:r w:rsidR="003C2D14">
        <w:t xml:space="preserve"> </w:t>
      </w:r>
    </w:p>
    <w:p w14:paraId="2418106C" w14:textId="47DA4873" w:rsidR="00F05185" w:rsidRDefault="003C2D14" w:rsidP="00F05185">
      <w:r>
        <w:t>Therefore, Option 1 should be preferred, and the corresponding common TA indication should be broadcasted. This should not defend GNSS-equipped UEs to improve the</w:t>
      </w:r>
      <w:r w:rsidR="00863A1E">
        <w:t>ir</w:t>
      </w:r>
      <w:r>
        <w:t xml:space="preserve"> acquisition </w:t>
      </w:r>
      <w:r w:rsidR="00863A1E">
        <w:t xml:space="preserve">information </w:t>
      </w:r>
      <w:r>
        <w:t xml:space="preserve">with </w:t>
      </w:r>
      <w:r w:rsidR="00863A1E">
        <w:t xml:space="preserve">position information. </w:t>
      </w:r>
    </w:p>
    <w:p w14:paraId="021DB76C" w14:textId="042B1F30" w:rsidR="00A472D2" w:rsidRDefault="00A472D2" w:rsidP="00A472D2">
      <w:pPr>
        <w:rPr>
          <w:i/>
        </w:rPr>
      </w:pPr>
      <w:r>
        <w:rPr>
          <w:b/>
        </w:rPr>
        <w:t>Proposal 2</w:t>
      </w:r>
      <w:r w:rsidR="00C957F7" w:rsidRPr="00C957F7">
        <w:rPr>
          <w:b/>
        </w:rPr>
        <w:t>:</w:t>
      </w:r>
      <w:r w:rsidR="00C957F7">
        <w:t xml:space="preserve"> </w:t>
      </w:r>
      <w:r w:rsidR="00C957F7" w:rsidRPr="00C957F7">
        <w:rPr>
          <w:i/>
        </w:rPr>
        <w:t xml:space="preserve">The common TA </w:t>
      </w:r>
      <w:r w:rsidR="0060162E">
        <w:rPr>
          <w:i/>
        </w:rPr>
        <w:t>is</w:t>
      </w:r>
      <w:r w:rsidR="00C957F7" w:rsidRPr="00C957F7">
        <w:rPr>
          <w:i/>
        </w:rPr>
        <w:t xml:space="preserve"> broadcasted to all users within the coverage of same beam</w:t>
      </w:r>
      <w:r w:rsidR="001A594A">
        <w:rPr>
          <w:i/>
        </w:rPr>
        <w:t>.</w:t>
      </w:r>
    </w:p>
    <w:p w14:paraId="4976D2B3" w14:textId="7E269B97" w:rsidR="00C957F7" w:rsidRPr="00AE0F30" w:rsidRDefault="006B1A99" w:rsidP="00F05185">
      <w:pPr>
        <w:rPr>
          <w:b/>
        </w:rPr>
      </w:pPr>
      <w:r>
        <w:rPr>
          <w:b/>
        </w:rPr>
        <w:t>TA maintenance</w:t>
      </w:r>
    </w:p>
    <w:p w14:paraId="29534751" w14:textId="1D4894A1" w:rsidR="00B434AB" w:rsidRDefault="00B434AB" w:rsidP="00F05185">
      <w:r>
        <w:t xml:space="preserve">As indicated above, we cannot assume that all UES will be always able to estimate their position accurately. Therefore, for TA maintenance, open loop mechanisms cannot always be robust enough. This implies that closed-loop solution should be kept., with indication of the TA adjustment over time. </w:t>
      </w:r>
    </w:p>
    <w:p w14:paraId="0CD7A94A" w14:textId="7CD02653" w:rsidR="00B434AB" w:rsidRDefault="00001D14" w:rsidP="00F05185">
      <w:r>
        <w:rPr>
          <w:b/>
        </w:rPr>
        <w:t>Proposal 3</w:t>
      </w:r>
      <w:r w:rsidR="00B434AB" w:rsidRPr="00B434AB">
        <w:rPr>
          <w:b/>
        </w:rPr>
        <w:t>:</w:t>
      </w:r>
      <w:r w:rsidR="00B434AB">
        <w:t xml:space="preserve"> </w:t>
      </w:r>
      <w:r w:rsidR="00936DD0">
        <w:rPr>
          <w:i/>
        </w:rPr>
        <w:t>F</w:t>
      </w:r>
      <w:r w:rsidR="00B434AB" w:rsidRPr="00B434AB">
        <w:rPr>
          <w:i/>
        </w:rPr>
        <w:t xml:space="preserve">or TA maintenance, </w:t>
      </w:r>
      <w:r w:rsidR="0060162E">
        <w:rPr>
          <w:i/>
        </w:rPr>
        <w:t xml:space="preserve">support at least the </w:t>
      </w:r>
      <w:r w:rsidR="00B434AB" w:rsidRPr="00B434AB">
        <w:rPr>
          <w:i/>
        </w:rPr>
        <w:t>closed-loop solution.</w:t>
      </w:r>
      <w:r w:rsidR="00B434AB">
        <w:t xml:space="preserve"> </w:t>
      </w:r>
    </w:p>
    <w:p w14:paraId="2451A1B8" w14:textId="77777777" w:rsidR="00A472D2" w:rsidRDefault="00A472D2" w:rsidP="00F05185"/>
    <w:p w14:paraId="49DDF6AB" w14:textId="4F90DE85" w:rsidR="00F05185" w:rsidRPr="00F05185" w:rsidRDefault="00F05185" w:rsidP="00F05185">
      <w:pPr>
        <w:pStyle w:val="Titre1"/>
      </w:pPr>
      <w:r>
        <w:t>RACH</w:t>
      </w:r>
    </w:p>
    <w:p w14:paraId="7D1960AC" w14:textId="0CC56C69" w:rsidR="00CA57BE" w:rsidRDefault="00A0216B" w:rsidP="00547779">
      <w:r>
        <w:t>In R</w:t>
      </w:r>
      <w:r w:rsidR="0060162E">
        <w:t>AN1#98</w:t>
      </w:r>
      <w:r>
        <w:t xml:space="preserve"> meeting, t</w:t>
      </w:r>
      <w:r w:rsidR="00CA57BE">
        <w:t>here have been severa</w:t>
      </w:r>
      <w:r w:rsidR="00B60B7B">
        <w:t>l discussions on RACH format [7</w:t>
      </w:r>
      <w:r w:rsidR="00CA57BE">
        <w:t>], in particular on the ways to enhance its format to cope with a larger coverage</w:t>
      </w:r>
      <w:r w:rsidR="00097C2B">
        <w:t xml:space="preserve"> </w:t>
      </w:r>
    </w:p>
    <w:p w14:paraId="5275727C" w14:textId="508739F1" w:rsidR="00A0216B" w:rsidRDefault="00A0216B" w:rsidP="00547779">
      <w:r>
        <w:t>It has been agreed that the current RACH format/parameters are not well suited for NTN. For example, [9] and [10] made some proposals on how to enhance the current PRACH format.</w:t>
      </w:r>
    </w:p>
    <w:p w14:paraId="0E08A656" w14:textId="37E5476C" w:rsidR="00A0216B" w:rsidRDefault="00EB19E3" w:rsidP="00547779">
      <w:r>
        <w:t xml:space="preserve">One key point here is the current PRACH is a Zadoff-Chu sequence. </w:t>
      </w:r>
      <w:r w:rsidR="003635B6">
        <w:t>In NR, when discussing a new</w:t>
      </w:r>
      <w:r>
        <w:t xml:space="preserve"> PSS design, it has been accepted that such Zadoff-Chu sequences suffer from time-frequency ambiguity performance [8]</w:t>
      </w:r>
      <w:r w:rsidR="003635B6">
        <w:t>, and this led to the new PSS sequence, i.e. a M-sequence. For PRACH, the situation is more difficult, as one need to design a set of orthogonal sequences, in order to distinguish between UEs transmitting simultaneously</w:t>
      </w:r>
      <w:r w:rsidR="0060162E">
        <w:t xml:space="preserve"> and having a higher time/frequency uncertainty with respect to the terrestrial case</w:t>
      </w:r>
      <w:r w:rsidR="003635B6">
        <w:t xml:space="preserve">. </w:t>
      </w:r>
    </w:p>
    <w:p w14:paraId="42C166C8" w14:textId="6321F34F" w:rsidR="00A0216B" w:rsidRDefault="00C31377" w:rsidP="00547779">
      <w:r>
        <w:t xml:space="preserve">Because of this inner weakness of Zadoff-Chu sequences, we doubt that the optimal solution consists in simply modifying some parameters (CP size, subcarrier separation) or by repeating the same sequence. A redesign seems needed. </w:t>
      </w:r>
    </w:p>
    <w:p w14:paraId="176C1811" w14:textId="5C06DC75" w:rsidR="00A0216B" w:rsidRDefault="00A0216B" w:rsidP="00547779">
      <w:r>
        <w:lastRenderedPageBreak/>
        <w:t xml:space="preserve">It is clear that further studies are needed on the subject, in particular for UEs having no GNSS capability. </w:t>
      </w:r>
    </w:p>
    <w:p w14:paraId="4FF46E18" w14:textId="66DD1F04" w:rsidR="00CA57BE" w:rsidRDefault="00001D14" w:rsidP="00547779">
      <w:r>
        <w:rPr>
          <w:b/>
        </w:rPr>
        <w:t>Proposal 4</w:t>
      </w:r>
      <w:r w:rsidR="00CA57BE" w:rsidRPr="00CA57BE">
        <w:rPr>
          <w:b/>
        </w:rPr>
        <w:t>:</w:t>
      </w:r>
      <w:r w:rsidR="00CA57BE">
        <w:t xml:space="preserve"> </w:t>
      </w:r>
      <w:r w:rsidR="0060162E" w:rsidRPr="0060162E">
        <w:rPr>
          <w:i/>
        </w:rPr>
        <w:t xml:space="preserve">Consider </w:t>
      </w:r>
      <w:r w:rsidR="0060162E">
        <w:t>s</w:t>
      </w:r>
      <w:r w:rsidR="00CA57BE" w:rsidRPr="00CA57BE">
        <w:rPr>
          <w:i/>
        </w:rPr>
        <w:t xml:space="preserve">tudy on a new PRACH </w:t>
      </w:r>
      <w:r w:rsidR="0060162E">
        <w:rPr>
          <w:i/>
        </w:rPr>
        <w:t>sequence</w:t>
      </w:r>
      <w:r w:rsidR="00CA57BE" w:rsidRPr="00CA57BE">
        <w:rPr>
          <w:i/>
        </w:rPr>
        <w:t xml:space="preserve"> for NTN.</w:t>
      </w:r>
      <w:r w:rsidR="00CA57BE">
        <w:t xml:space="preserve"> </w:t>
      </w:r>
    </w:p>
    <w:p w14:paraId="4EB80D79" w14:textId="33C52AD0"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204BCDBA" w:rsidR="002067A2" w:rsidRDefault="005F4E62" w:rsidP="002067A2">
      <w:r w:rsidRPr="005F4E62">
        <w:t xml:space="preserve">Based on the discussion </w:t>
      </w:r>
      <w:r>
        <w:t>in this contribution, we make the following observations</w:t>
      </w:r>
      <w:r w:rsidR="0083571F">
        <w:t xml:space="preserve"> and proposals</w:t>
      </w:r>
      <w:r>
        <w:t>:</w:t>
      </w:r>
    </w:p>
    <w:p w14:paraId="010123FA" w14:textId="5771E236" w:rsidR="006D0721" w:rsidRDefault="006D0721" w:rsidP="006D0721">
      <w:r w:rsidRPr="006D0721">
        <w:rPr>
          <w:b/>
        </w:rPr>
        <w:t>Observation 1</w:t>
      </w:r>
      <w:r>
        <w:t xml:space="preserve">: </w:t>
      </w:r>
      <w:r w:rsidR="0060162E">
        <w:rPr>
          <w:i/>
        </w:rPr>
        <w:t>F</w:t>
      </w:r>
      <w:bookmarkStart w:id="1" w:name="_GoBack"/>
      <w:bookmarkEnd w:id="1"/>
      <w:r w:rsidRPr="00B24EF5">
        <w:rPr>
          <w:i/>
        </w:rPr>
        <w:t>or a given maximum residual Doppler value after pre-correction, the maximum diameter size depends (increases) of the altitude</w:t>
      </w:r>
      <w:r>
        <w:t>.</w:t>
      </w:r>
    </w:p>
    <w:p w14:paraId="23CDD8E8" w14:textId="36D1E3FB" w:rsidR="006D0721" w:rsidRDefault="0060162E" w:rsidP="006D0721">
      <w:r w:rsidRPr="006D0721">
        <w:rPr>
          <w:b/>
        </w:rPr>
        <w:t>Proposal 1</w:t>
      </w:r>
      <w:r>
        <w:t xml:space="preserve">: </w:t>
      </w:r>
      <w:r w:rsidRPr="00736A63">
        <w:rPr>
          <w:i/>
        </w:rPr>
        <w:t>For residual Doppler evaluations,</w:t>
      </w:r>
      <w:r>
        <w:t xml:space="preserve"> </w:t>
      </w:r>
      <w:r>
        <w:rPr>
          <w:i/>
        </w:rPr>
        <w:t>s</w:t>
      </w:r>
      <w:r w:rsidRPr="008A4082">
        <w:rPr>
          <w:i/>
        </w:rPr>
        <w:t>et the maximum acceptable footprint diameter as a function of the altitude</w:t>
      </w:r>
      <w:r>
        <w:t>.</w:t>
      </w:r>
    </w:p>
    <w:p w14:paraId="51FDCF88" w14:textId="77777777" w:rsidR="0060162E" w:rsidRDefault="0060162E" w:rsidP="0060162E">
      <w:pPr>
        <w:rPr>
          <w:i/>
        </w:rPr>
      </w:pPr>
      <w:r>
        <w:rPr>
          <w:b/>
        </w:rPr>
        <w:t>Proposal 2</w:t>
      </w:r>
      <w:r w:rsidRPr="00C957F7">
        <w:rPr>
          <w:b/>
        </w:rPr>
        <w:t>:</w:t>
      </w:r>
      <w:r>
        <w:t xml:space="preserve"> </w:t>
      </w:r>
      <w:r w:rsidRPr="00C957F7">
        <w:rPr>
          <w:i/>
        </w:rPr>
        <w:t xml:space="preserve">The common TA </w:t>
      </w:r>
      <w:r>
        <w:rPr>
          <w:i/>
        </w:rPr>
        <w:t>is</w:t>
      </w:r>
      <w:r w:rsidRPr="00C957F7">
        <w:rPr>
          <w:i/>
        </w:rPr>
        <w:t xml:space="preserve"> broadcasted to all users within the coverage of same beam</w:t>
      </w:r>
      <w:r>
        <w:rPr>
          <w:i/>
        </w:rPr>
        <w:t>.</w:t>
      </w:r>
    </w:p>
    <w:p w14:paraId="35DF7705" w14:textId="6813C690" w:rsidR="002A16AD" w:rsidRDefault="0060162E" w:rsidP="002A16AD">
      <w:r>
        <w:rPr>
          <w:b/>
        </w:rPr>
        <w:t>Proposal 3</w:t>
      </w:r>
      <w:r w:rsidRPr="00B434AB">
        <w:rPr>
          <w:b/>
        </w:rPr>
        <w:t>:</w:t>
      </w:r>
      <w:r>
        <w:t xml:space="preserve"> </w:t>
      </w:r>
      <w:r>
        <w:rPr>
          <w:i/>
        </w:rPr>
        <w:t>F</w:t>
      </w:r>
      <w:r w:rsidRPr="00B434AB">
        <w:rPr>
          <w:i/>
        </w:rPr>
        <w:t xml:space="preserve">or TA maintenance, </w:t>
      </w:r>
      <w:r>
        <w:rPr>
          <w:i/>
        </w:rPr>
        <w:t xml:space="preserve">support at least the </w:t>
      </w:r>
      <w:r w:rsidRPr="00B434AB">
        <w:rPr>
          <w:i/>
        </w:rPr>
        <w:t>closed-loop solution.</w:t>
      </w:r>
    </w:p>
    <w:p w14:paraId="5B84C8BE" w14:textId="6A548D3D" w:rsidR="00E420EA" w:rsidRDefault="0060162E" w:rsidP="00E420EA">
      <w:r>
        <w:rPr>
          <w:b/>
        </w:rPr>
        <w:t>Proposal 4</w:t>
      </w:r>
      <w:r w:rsidRPr="00CA57BE">
        <w:rPr>
          <w:b/>
        </w:rPr>
        <w:t>:</w:t>
      </w:r>
      <w:r>
        <w:t xml:space="preserve"> </w:t>
      </w:r>
      <w:r w:rsidRPr="0060162E">
        <w:rPr>
          <w:i/>
        </w:rPr>
        <w:t xml:space="preserve">Consider </w:t>
      </w:r>
      <w:r>
        <w:t>s</w:t>
      </w:r>
      <w:r w:rsidRPr="00CA57BE">
        <w:rPr>
          <w:i/>
        </w:rPr>
        <w:t xml:space="preserve">tudy on a new PRACH </w:t>
      </w:r>
      <w:r>
        <w:rPr>
          <w:i/>
        </w:rPr>
        <w:t>sequence</w:t>
      </w:r>
      <w:r w:rsidRPr="00CA57BE">
        <w:rPr>
          <w:i/>
        </w:rPr>
        <w:t xml:space="preserve"> for NTN.</w:t>
      </w:r>
    </w:p>
    <w:p w14:paraId="72BEDC56" w14:textId="77777777" w:rsidR="000A3BF1" w:rsidRPr="005F4E62" w:rsidRDefault="000A3BF1" w:rsidP="002067A2">
      <w:pPr>
        <w:pBdr>
          <w:bottom w:val="single" w:sz="12" w:space="1" w:color="auto"/>
        </w:pBdr>
      </w:pPr>
    </w:p>
    <w:p w14:paraId="17B7DE11" w14:textId="3D1E9EC9" w:rsidR="002067A2" w:rsidRDefault="002067A2" w:rsidP="002067A2">
      <w:pPr>
        <w:pStyle w:val="Titre1"/>
      </w:pPr>
      <w:r w:rsidRPr="00F72CA6">
        <w:t>References</w:t>
      </w:r>
    </w:p>
    <w:p w14:paraId="29933A81" w14:textId="534653E3" w:rsidR="001362CD" w:rsidRPr="001362CD" w:rsidRDefault="001362CD" w:rsidP="001362CD">
      <w:pPr>
        <w:pStyle w:val="Titre3"/>
        <w:keepNext w:val="0"/>
        <w:widowControl w:val="0"/>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RP-181370</w:t>
      </w:r>
      <w:r w:rsidRPr="001362CD">
        <w:t xml:space="preserve"> Study on solutions evaluation for NR to support </w:t>
      </w:r>
      <w:r>
        <w:t>Non-Terrestrial Network,</w:t>
      </w:r>
      <w:r w:rsidRPr="001362CD">
        <w:t xml:space="preserve"> RAN#80</w:t>
      </w:r>
      <w:r w:rsidR="002C0B2A">
        <w:t>.</w:t>
      </w:r>
    </w:p>
    <w:p w14:paraId="21AD8CD5" w14:textId="594697FC" w:rsidR="00C20375" w:rsidRPr="00903D37" w:rsidRDefault="00D5230A" w:rsidP="00903D37">
      <w:pPr>
        <w:pStyle w:val="Paragraphedeliste"/>
        <w:numPr>
          <w:ilvl w:val="0"/>
          <w:numId w:val="6"/>
        </w:numPr>
        <w:ind w:leftChars="0"/>
        <w:rPr>
          <w:rFonts w:eastAsia="MS Gothic" w:cs="Times New Roman"/>
          <w:b/>
        </w:rPr>
      </w:pPr>
      <w:r>
        <w:rPr>
          <w:rFonts w:eastAsia="MS Gothic" w:cs="Times New Roman"/>
          <w:b/>
        </w:rPr>
        <w:t xml:space="preserve"> </w:t>
      </w:r>
      <w:r w:rsidR="00C20375" w:rsidRPr="00C20375">
        <w:rPr>
          <w:rFonts w:eastAsia="MS Gothic" w:cs="Times New Roman"/>
          <w:b/>
        </w:rPr>
        <w:t>RP-180333 NR-NTN: NR impact area identification, i</w:t>
      </w:r>
      <w:r w:rsidR="00903D37">
        <w:rPr>
          <w:rFonts w:eastAsia="MS Gothic" w:cs="Times New Roman"/>
          <w:b/>
        </w:rPr>
        <w:t>nitial downlink synchronization, RAN#79, Chennai, India (Thales)</w:t>
      </w:r>
      <w:r w:rsidR="002C0B2A">
        <w:rPr>
          <w:rFonts w:eastAsia="MS Gothic" w:cs="Times New Roman"/>
          <w:b/>
        </w:rPr>
        <w:t>.</w:t>
      </w:r>
    </w:p>
    <w:p w14:paraId="061B9CC7" w14:textId="06753388" w:rsidR="0092551C" w:rsidRPr="0092551C" w:rsidRDefault="0092551C" w:rsidP="0092551C">
      <w:pPr>
        <w:pStyle w:val="Titre3"/>
        <w:keepNext w:val="0"/>
        <w:widowControl w:val="0"/>
        <w:numPr>
          <w:ilvl w:val="0"/>
          <w:numId w:val="6"/>
        </w:numPr>
      </w:pPr>
      <w:bookmarkStart w:id="8" w:name="_Ref510646059"/>
      <w:bookmarkStart w:id="9" w:name="_Ref503286449"/>
      <w:bookmarkStart w:id="10" w:name="_Ref525578521"/>
      <w:bookmarkEnd w:id="2"/>
      <w:bookmarkEnd w:id="3"/>
      <w:r>
        <w:t xml:space="preserve">R1-1903201 </w:t>
      </w:r>
      <w:r w:rsidR="009824DA" w:rsidRPr="009824DA">
        <w:rPr>
          <w:kern w:val="2"/>
          <w:lang w:eastAsia="zh-CN"/>
        </w:rPr>
        <w:t>Evaluation of DL synchronization and central frequency tracking for NTN</w:t>
      </w:r>
      <w:r w:rsidR="009824DA">
        <w:t xml:space="preserve">, </w:t>
      </w:r>
      <w:r w:rsidR="002C0B2A">
        <w:t xml:space="preserve">RAN1#96, February 2019, </w:t>
      </w:r>
      <w:r w:rsidR="009824DA">
        <w:t>Huawei</w:t>
      </w:r>
      <w:bookmarkEnd w:id="4"/>
      <w:bookmarkEnd w:id="5"/>
      <w:bookmarkEnd w:id="6"/>
      <w:bookmarkEnd w:id="7"/>
      <w:bookmarkEnd w:id="8"/>
      <w:bookmarkEnd w:id="9"/>
      <w:bookmarkEnd w:id="10"/>
      <w:r w:rsidR="002C0B2A">
        <w:t>.</w:t>
      </w:r>
    </w:p>
    <w:p w14:paraId="553267EA" w14:textId="13DAA43B" w:rsidR="0092551C" w:rsidRPr="0092551C" w:rsidRDefault="00D5230A" w:rsidP="0092551C">
      <w:pPr>
        <w:pStyle w:val="Titre3"/>
        <w:keepNext w:val="0"/>
        <w:widowControl w:val="0"/>
        <w:numPr>
          <w:ilvl w:val="0"/>
          <w:numId w:val="6"/>
        </w:numPr>
      </w:pPr>
      <w:r>
        <w:t xml:space="preserve"> </w:t>
      </w:r>
      <w:r w:rsidR="0092551C">
        <w:t>R1-</w:t>
      </w:r>
      <w:r w:rsidR="0092551C" w:rsidRPr="0092551C">
        <w:t>1905206 Doppler shift compensation in NTN</w:t>
      </w:r>
      <w:r w:rsidR="002C0B2A">
        <w:t>, RAN1#96b, Thales.</w:t>
      </w:r>
    </w:p>
    <w:p w14:paraId="488C1139" w14:textId="63AB5F8E" w:rsidR="00783102" w:rsidRPr="0092551C" w:rsidRDefault="00D5230A" w:rsidP="00783102">
      <w:pPr>
        <w:pStyle w:val="Titre3"/>
        <w:keepNext w:val="0"/>
        <w:widowControl w:val="0"/>
        <w:numPr>
          <w:ilvl w:val="0"/>
          <w:numId w:val="6"/>
        </w:numPr>
      </w:pPr>
      <w:r>
        <w:t xml:space="preserve"> </w:t>
      </w:r>
      <w:r w:rsidR="00783102">
        <w:t>R1-</w:t>
      </w:r>
      <w:r w:rsidR="00C256FE">
        <w:t>1904644</w:t>
      </w:r>
      <w:r w:rsidR="00783102" w:rsidRPr="0092551C">
        <w:t xml:space="preserve"> </w:t>
      </w:r>
      <w:r w:rsidR="00C256FE">
        <w:t>Doppler compensation in ini</w:t>
      </w:r>
      <w:r w:rsidR="003D33DD">
        <w:t xml:space="preserve">tial access procedure in NR-NTN, RAN1#96b, </w:t>
      </w:r>
      <w:r w:rsidR="00783102">
        <w:t>Mediatek</w:t>
      </w:r>
      <w:r w:rsidR="003D33DD">
        <w:t>.</w:t>
      </w:r>
    </w:p>
    <w:p w14:paraId="0592FFC5" w14:textId="3156AE14" w:rsidR="001642AB" w:rsidRPr="0092551C" w:rsidRDefault="00D5230A" w:rsidP="001642AB">
      <w:pPr>
        <w:pStyle w:val="Titre3"/>
        <w:keepNext w:val="0"/>
        <w:widowControl w:val="0"/>
        <w:numPr>
          <w:ilvl w:val="0"/>
          <w:numId w:val="6"/>
        </w:numPr>
      </w:pPr>
      <w:r>
        <w:t xml:space="preserve"> </w:t>
      </w:r>
      <w:r w:rsidR="001642AB">
        <w:t>3GPP TR 38.802 v14.1.0, Study on New Radio Access Technology Physical Layer Aspects (Release 14), June 2016</w:t>
      </w:r>
    </w:p>
    <w:p w14:paraId="69BF6209" w14:textId="56C1C5C4" w:rsidR="009824DA" w:rsidRDefault="003C2D14" w:rsidP="009824DA">
      <w:pPr>
        <w:pStyle w:val="Titre3"/>
        <w:keepNext w:val="0"/>
        <w:widowControl w:val="0"/>
        <w:numPr>
          <w:ilvl w:val="0"/>
          <w:numId w:val="6"/>
        </w:numPr>
      </w:pPr>
      <w:r>
        <w:t>R1-</w:t>
      </w:r>
      <w:r w:rsidRPr="00786CA9">
        <w:t>190</w:t>
      </w:r>
      <w:r w:rsidR="00786CA9" w:rsidRPr="00786CA9">
        <w:t>7782</w:t>
      </w:r>
      <w:r>
        <w:t xml:space="preserve"> Draft summary of 7.2.5.3 on UL timing and PRACH, </w:t>
      </w:r>
      <w:r w:rsidR="00EF662D">
        <w:t>RAN1#98</w:t>
      </w:r>
      <w:r w:rsidR="002C0B2A">
        <w:t xml:space="preserve">, </w:t>
      </w:r>
      <w:r w:rsidR="00EF662D">
        <w:t>Prague</w:t>
      </w:r>
      <w:r>
        <w:t xml:space="preserve">, </w:t>
      </w:r>
      <w:r w:rsidR="00EF662D">
        <w:t>CZ</w:t>
      </w:r>
      <w:r>
        <w:t xml:space="preserve">A, </w:t>
      </w:r>
      <w:r w:rsidR="00EF662D">
        <w:t>August 26-30,</w:t>
      </w:r>
      <w:r>
        <w:t xml:space="preserve"> 2019 (ZTE</w:t>
      </w:r>
      <w:r w:rsidR="00936DD0">
        <w:t>)</w:t>
      </w:r>
    </w:p>
    <w:p w14:paraId="371D56BA" w14:textId="7552AD60" w:rsidR="00740CDD" w:rsidRPr="00740CDD" w:rsidRDefault="006D0059" w:rsidP="00740CDD">
      <w:pPr>
        <w:pStyle w:val="Titre3"/>
        <w:keepNext w:val="0"/>
        <w:widowControl w:val="0"/>
        <w:numPr>
          <w:ilvl w:val="0"/>
          <w:numId w:val="6"/>
        </w:numPr>
      </w:pPr>
      <w:r w:rsidRPr="00D5230A">
        <w:t xml:space="preserve">R1-1708160 </w:t>
      </w:r>
      <w:r w:rsidRPr="002D34B8">
        <w:t>Remaining details for synchronization signals (Huawei, HiSilicon)</w:t>
      </w:r>
    </w:p>
    <w:p w14:paraId="40884F4E" w14:textId="1EC94403" w:rsidR="00740CDD" w:rsidRPr="00740CDD" w:rsidRDefault="00740CDD" w:rsidP="00786CA9">
      <w:pPr>
        <w:pStyle w:val="Titre3"/>
        <w:keepNext w:val="0"/>
        <w:widowControl w:val="0"/>
        <w:numPr>
          <w:ilvl w:val="0"/>
          <w:numId w:val="6"/>
        </w:numPr>
      </w:pPr>
      <w:r>
        <w:t xml:space="preserve">R1-1909261 </w:t>
      </w:r>
      <w:r w:rsidR="00786CA9" w:rsidRPr="00786CA9">
        <w:t>RACH Procedure and UL Timing Control for NTN</w:t>
      </w:r>
      <w:r w:rsidR="00EF04AA">
        <w:t xml:space="preserve"> RAN1#98, Prague, CZA, August 26-30, 2019</w:t>
      </w:r>
      <w:r>
        <w:t xml:space="preserve"> (Qualcomm)</w:t>
      </w:r>
    </w:p>
    <w:p w14:paraId="485734EF" w14:textId="4444A060" w:rsidR="00740CDD" w:rsidRDefault="00740CDD" w:rsidP="009A7FCF">
      <w:pPr>
        <w:pStyle w:val="Titre3"/>
        <w:keepNext w:val="0"/>
        <w:widowControl w:val="0"/>
        <w:numPr>
          <w:ilvl w:val="0"/>
          <w:numId w:val="6"/>
        </w:numPr>
      </w:pPr>
      <w:r>
        <w:t xml:space="preserve">R1-1908015 </w:t>
      </w:r>
      <w:r w:rsidR="009A7FCF" w:rsidRPr="009A7FCF">
        <w:t>PRACH analysis under NR-NTN scenario</w:t>
      </w:r>
      <w:r>
        <w:t xml:space="preserve"> </w:t>
      </w:r>
      <w:r w:rsidR="00EF04AA">
        <w:t xml:space="preserve">RAN1#98, Prague, CZA, August 26-30, 2019 </w:t>
      </w:r>
      <w:r>
        <w:t>(Mediatek)</w:t>
      </w:r>
    </w:p>
    <w:p w14:paraId="6C577AB0" w14:textId="6EAC4866" w:rsidR="00102B5C" w:rsidRPr="00102B5C" w:rsidRDefault="009D37DF" w:rsidP="00102B5C">
      <w:pPr>
        <w:pStyle w:val="Titre3"/>
        <w:keepNext w:val="0"/>
        <w:widowControl w:val="0"/>
        <w:numPr>
          <w:ilvl w:val="0"/>
          <w:numId w:val="6"/>
        </w:numPr>
      </w:pPr>
      <w:r>
        <w:t>R1-1908674</w:t>
      </w:r>
      <w:r w:rsidR="00102B5C" w:rsidRPr="00102B5C">
        <w:t xml:space="preserve"> Discussion on UL Timing Advance and RACH</w:t>
      </w:r>
      <w:r w:rsidR="00144224">
        <w:t>, RAN1#98</w:t>
      </w:r>
      <w:r w:rsidR="00102B5C">
        <w:t>, Prague, CZ</w:t>
      </w:r>
      <w:r w:rsidR="00102B5C" w:rsidRPr="00102B5C">
        <w:t xml:space="preserve"> (Mitsubishi)</w:t>
      </w:r>
    </w:p>
    <w:p w14:paraId="56897A2F" w14:textId="77777777" w:rsidR="00102B5C" w:rsidRPr="00102B5C" w:rsidRDefault="00102B5C" w:rsidP="00102B5C"/>
    <w:p w14:paraId="11D7A772" w14:textId="0D964706" w:rsidR="006D0059" w:rsidRPr="006D0059" w:rsidRDefault="006D0059" w:rsidP="006D0059"/>
    <w:sectPr w:rsidR="006D0059" w:rsidRPr="006D0059"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1CB70" w14:textId="77777777" w:rsidR="002200D9" w:rsidRDefault="002200D9" w:rsidP="00A81622">
      <w:r>
        <w:separator/>
      </w:r>
    </w:p>
  </w:endnote>
  <w:endnote w:type="continuationSeparator" w:id="0">
    <w:p w14:paraId="324D2BA8" w14:textId="77777777" w:rsidR="002200D9" w:rsidRDefault="002200D9" w:rsidP="00A81622">
      <w:r>
        <w:continuationSeparator/>
      </w:r>
    </w:p>
  </w:endnote>
  <w:endnote w:type="continuationNotice" w:id="1">
    <w:p w14:paraId="26EAE832" w14:textId="77777777" w:rsidR="002200D9" w:rsidRDefault="002200D9"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75027" w14:textId="77777777" w:rsidR="002200D9" w:rsidRDefault="002200D9" w:rsidP="00A81622">
      <w:r>
        <w:separator/>
      </w:r>
    </w:p>
  </w:footnote>
  <w:footnote w:type="continuationSeparator" w:id="0">
    <w:p w14:paraId="3D79C722" w14:textId="77777777" w:rsidR="002200D9" w:rsidRDefault="002200D9" w:rsidP="00A81622">
      <w:r>
        <w:continuationSeparator/>
      </w:r>
    </w:p>
  </w:footnote>
  <w:footnote w:type="continuationNotice" w:id="1">
    <w:p w14:paraId="4060AEB9" w14:textId="77777777" w:rsidR="002200D9" w:rsidRDefault="002200D9"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20"/>
  </w:num>
  <w:num w:numId="4">
    <w:abstractNumId w:val="11"/>
  </w:num>
  <w:num w:numId="5">
    <w:abstractNumId w:val="23"/>
  </w:num>
  <w:num w:numId="6">
    <w:abstractNumId w:val="9"/>
  </w:num>
  <w:num w:numId="7">
    <w:abstractNumId w:val="2"/>
  </w:num>
  <w:num w:numId="8">
    <w:abstractNumId w:val="22"/>
  </w:num>
  <w:num w:numId="9">
    <w:abstractNumId w:val="17"/>
  </w:num>
  <w:num w:numId="10">
    <w:abstractNumId w:val="7"/>
  </w:num>
  <w:num w:numId="11">
    <w:abstractNumId w:val="12"/>
  </w:num>
  <w:num w:numId="12">
    <w:abstractNumId w:val="2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8"/>
  </w:num>
  <w:num w:numId="16">
    <w:abstractNumId w:val="24"/>
  </w:num>
  <w:num w:numId="17">
    <w:abstractNumId w:val="5"/>
  </w:num>
  <w:num w:numId="18">
    <w:abstractNumId w:val="13"/>
  </w:num>
  <w:num w:numId="19">
    <w:abstractNumId w:val="3"/>
  </w:num>
  <w:num w:numId="20">
    <w:abstractNumId w:val="4"/>
  </w:num>
  <w:num w:numId="21">
    <w:abstractNumId w:val="20"/>
  </w:num>
  <w:num w:numId="22">
    <w:abstractNumId w:val="10"/>
  </w:num>
  <w:num w:numId="23">
    <w:abstractNumId w:val="14"/>
  </w:num>
  <w:num w:numId="24">
    <w:abstractNumId w:val="6"/>
  </w:num>
  <w:num w:numId="25">
    <w:abstractNumId w:val="16"/>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nl-NL"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388F"/>
    <w:rsid w:val="00015C13"/>
    <w:rsid w:val="00015D7C"/>
    <w:rsid w:val="00016423"/>
    <w:rsid w:val="000168BD"/>
    <w:rsid w:val="00016CF6"/>
    <w:rsid w:val="00016EC0"/>
    <w:rsid w:val="0001704B"/>
    <w:rsid w:val="0001720A"/>
    <w:rsid w:val="000175E0"/>
    <w:rsid w:val="00020867"/>
    <w:rsid w:val="00021622"/>
    <w:rsid w:val="00021A91"/>
    <w:rsid w:val="00021B6B"/>
    <w:rsid w:val="00021D29"/>
    <w:rsid w:val="000229BA"/>
    <w:rsid w:val="00022B91"/>
    <w:rsid w:val="00022B9D"/>
    <w:rsid w:val="00024782"/>
    <w:rsid w:val="00024877"/>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585F"/>
    <w:rsid w:val="00096972"/>
    <w:rsid w:val="0009753D"/>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1144"/>
    <w:rsid w:val="0024498C"/>
    <w:rsid w:val="00244AF2"/>
    <w:rsid w:val="00245168"/>
    <w:rsid w:val="002457AF"/>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66B"/>
    <w:rsid w:val="002F48EE"/>
    <w:rsid w:val="002F4C25"/>
    <w:rsid w:val="002F4D9E"/>
    <w:rsid w:val="002F6017"/>
    <w:rsid w:val="002F6382"/>
    <w:rsid w:val="002F69A1"/>
    <w:rsid w:val="002F6B88"/>
    <w:rsid w:val="002F6E8F"/>
    <w:rsid w:val="00300F92"/>
    <w:rsid w:val="0030157D"/>
    <w:rsid w:val="00301FF5"/>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C88"/>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BB6"/>
    <w:rsid w:val="005F6E7D"/>
    <w:rsid w:val="005F7E15"/>
    <w:rsid w:val="00600163"/>
    <w:rsid w:val="0060038F"/>
    <w:rsid w:val="00600BAE"/>
    <w:rsid w:val="00601558"/>
    <w:rsid w:val="0060162E"/>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059"/>
    <w:rsid w:val="006D02B9"/>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5D7B"/>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E8D"/>
    <w:rsid w:val="00737177"/>
    <w:rsid w:val="00737309"/>
    <w:rsid w:val="00737940"/>
    <w:rsid w:val="00737C9D"/>
    <w:rsid w:val="00740CDD"/>
    <w:rsid w:val="00740F24"/>
    <w:rsid w:val="0074103A"/>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B41"/>
    <w:rsid w:val="00770FA4"/>
    <w:rsid w:val="007711A5"/>
    <w:rsid w:val="007714A1"/>
    <w:rsid w:val="007721BE"/>
    <w:rsid w:val="00772BE1"/>
    <w:rsid w:val="007742C4"/>
    <w:rsid w:val="0077604D"/>
    <w:rsid w:val="00776426"/>
    <w:rsid w:val="00776E56"/>
    <w:rsid w:val="00777180"/>
    <w:rsid w:val="0077724A"/>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571F"/>
    <w:rsid w:val="00836728"/>
    <w:rsid w:val="0083693F"/>
    <w:rsid w:val="00836C76"/>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265B"/>
    <w:rsid w:val="0086304D"/>
    <w:rsid w:val="00863A1E"/>
    <w:rsid w:val="00863D38"/>
    <w:rsid w:val="008643C5"/>
    <w:rsid w:val="0086441C"/>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32AE"/>
    <w:rsid w:val="008A408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6267"/>
    <w:rsid w:val="009062C9"/>
    <w:rsid w:val="00906DA7"/>
    <w:rsid w:val="0090739A"/>
    <w:rsid w:val="00907AB5"/>
    <w:rsid w:val="00907BBB"/>
    <w:rsid w:val="00907C0E"/>
    <w:rsid w:val="00907C9C"/>
    <w:rsid w:val="00910C94"/>
    <w:rsid w:val="00910FDC"/>
    <w:rsid w:val="009113E4"/>
    <w:rsid w:val="009129EF"/>
    <w:rsid w:val="009131A9"/>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36DD0"/>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42C"/>
    <w:rsid w:val="0097569D"/>
    <w:rsid w:val="00976AD9"/>
    <w:rsid w:val="00980A5A"/>
    <w:rsid w:val="00980D66"/>
    <w:rsid w:val="0098123E"/>
    <w:rsid w:val="0098154E"/>
    <w:rsid w:val="00981B16"/>
    <w:rsid w:val="009824DA"/>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7E4"/>
    <w:rsid w:val="00A16121"/>
    <w:rsid w:val="00A17582"/>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4AB"/>
    <w:rsid w:val="00B43CA0"/>
    <w:rsid w:val="00B44CDD"/>
    <w:rsid w:val="00B44F07"/>
    <w:rsid w:val="00B45673"/>
    <w:rsid w:val="00B458AB"/>
    <w:rsid w:val="00B46456"/>
    <w:rsid w:val="00B468E2"/>
    <w:rsid w:val="00B476C5"/>
    <w:rsid w:val="00B500EB"/>
    <w:rsid w:val="00B51CD3"/>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703B"/>
    <w:rsid w:val="00D20176"/>
    <w:rsid w:val="00D21152"/>
    <w:rsid w:val="00D21D5D"/>
    <w:rsid w:val="00D21D5F"/>
    <w:rsid w:val="00D2216D"/>
    <w:rsid w:val="00D22260"/>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6958"/>
    <w:rsid w:val="00E07891"/>
    <w:rsid w:val="00E104E2"/>
    <w:rsid w:val="00E106EA"/>
    <w:rsid w:val="00E10865"/>
    <w:rsid w:val="00E10927"/>
    <w:rsid w:val="00E10E26"/>
    <w:rsid w:val="00E11F43"/>
    <w:rsid w:val="00E134B4"/>
    <w:rsid w:val="00E13A69"/>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715D"/>
    <w:rsid w:val="00F001E5"/>
    <w:rsid w:val="00F00CDB"/>
    <w:rsid w:val="00F0117E"/>
    <w:rsid w:val="00F02453"/>
    <w:rsid w:val="00F026BB"/>
    <w:rsid w:val="00F040BE"/>
    <w:rsid w:val="00F048FD"/>
    <w:rsid w:val="00F04E8D"/>
    <w:rsid w:val="00F05185"/>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37C32"/>
    <w:rsid w:val="00F4043D"/>
    <w:rsid w:val="00F41402"/>
    <w:rsid w:val="00F437B1"/>
    <w:rsid w:val="00F437DB"/>
    <w:rsid w:val="00F43ECF"/>
    <w:rsid w:val="00F43EE5"/>
    <w:rsid w:val="00F4409B"/>
    <w:rsid w:val="00F45034"/>
    <w:rsid w:val="00F450E0"/>
    <w:rsid w:val="00F45794"/>
    <w:rsid w:val="00F4627C"/>
    <w:rsid w:val="00F473D3"/>
    <w:rsid w:val="00F501E1"/>
    <w:rsid w:val="00F50470"/>
    <w:rsid w:val="00F52014"/>
    <w:rsid w:val="00F53243"/>
    <w:rsid w:val="00F53310"/>
    <w:rsid w:val="00F53541"/>
    <w:rsid w:val="00F53E56"/>
    <w:rsid w:val="00F54BB3"/>
    <w:rsid w:val="00F54C8D"/>
    <w:rsid w:val="00F552D9"/>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DE6"/>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076"/>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7A421D-715B-4ED0-8EFD-70F524BF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1464</Words>
  <Characters>8351</Characters>
  <Application>Microsoft Office Word</Application>
  <DocSecurity>0</DocSecurity>
  <Lines>69</Lines>
  <Paragraphs>19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3</cp:revision>
  <cp:lastPrinted>2019-09-17T13:40:00Z</cp:lastPrinted>
  <dcterms:created xsi:type="dcterms:W3CDTF">2019-10-04T10:33:00Z</dcterms:created>
  <dcterms:modified xsi:type="dcterms:W3CDTF">2019-10-04T10:51:00Z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